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F51A" w14:textId="4E0AD171" w:rsidR="00AA024F" w:rsidRPr="00EB57C1" w:rsidRDefault="00000000" w:rsidP="00E83B70">
      <w:pPr>
        <w:ind w:left="-475" w:right="-187"/>
        <w:jc w:val="both"/>
        <w:rPr>
          <w:rFonts w:ascii="Georgia" w:hAnsi="Georgia"/>
          <w:sz w:val="22"/>
          <w:szCs w:val="22"/>
        </w:rPr>
      </w:pPr>
      <w:r w:rsidRPr="00EB57C1">
        <w:rPr>
          <w:rFonts w:ascii="Georgia" w:hAnsi="Georgia"/>
          <w:sz w:val="22"/>
          <w:szCs w:val="22"/>
        </w:rPr>
        <w:t>On behalf of the nearly 100,000 combined members of the National Multifamily Housing Council (NMHC) and the National Apartment Association (NAA)</w:t>
      </w:r>
      <w:r>
        <w:rPr>
          <w:rStyle w:val="FootnoteReference"/>
          <w:rFonts w:ascii="Georgia" w:hAnsi="Georgia"/>
          <w:sz w:val="22"/>
          <w:szCs w:val="22"/>
        </w:rPr>
        <w:footnoteReference w:id="2"/>
      </w:r>
      <w:r w:rsidRPr="00EB57C1">
        <w:rPr>
          <w:rFonts w:ascii="Georgia" w:hAnsi="Georgia"/>
          <w:sz w:val="22"/>
          <w:szCs w:val="22"/>
        </w:rPr>
        <w:t xml:space="preserve">, we </w:t>
      </w:r>
      <w:r w:rsidR="00C0201E">
        <w:rPr>
          <w:rFonts w:ascii="Georgia" w:hAnsi="Georgia"/>
          <w:sz w:val="22"/>
          <w:szCs w:val="22"/>
        </w:rPr>
        <w:t>offer this</w:t>
      </w:r>
      <w:r w:rsidR="0031330D">
        <w:rPr>
          <w:rFonts w:ascii="Georgia" w:hAnsi="Georgia"/>
          <w:sz w:val="22"/>
          <w:szCs w:val="22"/>
        </w:rPr>
        <w:t xml:space="preserve"> statement for the record </w:t>
      </w:r>
      <w:r w:rsidR="00E77DBE">
        <w:rPr>
          <w:rFonts w:ascii="Georgia" w:hAnsi="Georgia"/>
          <w:sz w:val="22"/>
          <w:szCs w:val="22"/>
        </w:rPr>
        <w:t xml:space="preserve">to the </w:t>
      </w:r>
      <w:r w:rsidR="000C01E6">
        <w:rPr>
          <w:rFonts w:ascii="Georgia" w:hAnsi="Georgia"/>
          <w:sz w:val="22"/>
          <w:szCs w:val="22"/>
        </w:rPr>
        <w:t>House Committee on Ways and Means’</w:t>
      </w:r>
      <w:r w:rsidR="003C5514">
        <w:rPr>
          <w:rFonts w:ascii="Georgia" w:hAnsi="Georgia"/>
          <w:sz w:val="22"/>
          <w:szCs w:val="22"/>
        </w:rPr>
        <w:t xml:space="preserve"> </w:t>
      </w:r>
      <w:r w:rsidR="00E77DBE">
        <w:rPr>
          <w:rFonts w:ascii="Georgia" w:hAnsi="Georgia"/>
          <w:sz w:val="22"/>
          <w:szCs w:val="22"/>
        </w:rPr>
        <w:t xml:space="preserve">Tax Teams examining the </w:t>
      </w:r>
      <w:r w:rsidR="00E77DBE">
        <w:rPr>
          <w:rFonts w:ascii="Georgia" w:hAnsi="Georgia"/>
          <w:i/>
          <w:iCs/>
          <w:sz w:val="22"/>
          <w:szCs w:val="22"/>
        </w:rPr>
        <w:t xml:space="preserve">Tax Cuts and Jobs Act (TCJA) </w:t>
      </w:r>
      <w:r w:rsidRPr="00EB57C1">
        <w:rPr>
          <w:rFonts w:ascii="Georgia" w:hAnsi="Georgia"/>
          <w:sz w:val="22"/>
          <w:szCs w:val="22"/>
        </w:rPr>
        <w:t xml:space="preserve">to share the views of the multifamily housing industry. We </w:t>
      </w:r>
      <w:r w:rsidR="00D220AA" w:rsidRPr="00EB57C1">
        <w:rPr>
          <w:rFonts w:ascii="Georgia" w:hAnsi="Georgia"/>
          <w:sz w:val="22"/>
          <w:szCs w:val="22"/>
        </w:rPr>
        <w:t xml:space="preserve">strongly believe that </w:t>
      </w:r>
      <w:r w:rsidR="00D220AA" w:rsidRPr="00EB57C1">
        <w:rPr>
          <w:rFonts w:ascii="Georgia" w:hAnsi="Georgia"/>
          <w:i/>
          <w:iCs/>
          <w:sz w:val="22"/>
          <w:szCs w:val="22"/>
        </w:rPr>
        <w:t xml:space="preserve">TCJA </w:t>
      </w:r>
      <w:r w:rsidR="00D220AA" w:rsidRPr="00EB57C1">
        <w:rPr>
          <w:rFonts w:ascii="Georgia" w:hAnsi="Georgia"/>
          <w:sz w:val="22"/>
          <w:szCs w:val="22"/>
        </w:rPr>
        <w:t>provisions affecting tax rates, the 20 percent qualified business income deduction, and the estate</w:t>
      </w:r>
      <w:r w:rsidR="00C0201E">
        <w:rPr>
          <w:rFonts w:ascii="Georgia" w:hAnsi="Georgia"/>
          <w:sz w:val="22"/>
          <w:szCs w:val="22"/>
        </w:rPr>
        <w:t>-</w:t>
      </w:r>
      <w:r w:rsidR="00D220AA" w:rsidRPr="00EB57C1">
        <w:rPr>
          <w:rFonts w:ascii="Georgia" w:hAnsi="Georgia"/>
          <w:sz w:val="22"/>
          <w:szCs w:val="22"/>
        </w:rPr>
        <w:t xml:space="preserve">tax </w:t>
      </w:r>
      <w:r w:rsidR="00C0201E">
        <w:rPr>
          <w:rFonts w:ascii="Georgia" w:hAnsi="Georgia"/>
          <w:sz w:val="22"/>
          <w:szCs w:val="22"/>
        </w:rPr>
        <w:t xml:space="preserve">exemption </w:t>
      </w:r>
      <w:r w:rsidR="00D220AA" w:rsidRPr="00EB57C1">
        <w:rPr>
          <w:rFonts w:ascii="Georgia" w:hAnsi="Georgia"/>
          <w:sz w:val="22"/>
          <w:szCs w:val="22"/>
        </w:rPr>
        <w:t xml:space="preserve">should be made permanent. At the same time, we encourage the Congress to </w:t>
      </w:r>
      <w:r w:rsidR="00C940E3" w:rsidRPr="00EB57C1">
        <w:rPr>
          <w:rFonts w:ascii="Georgia" w:hAnsi="Georgia"/>
          <w:sz w:val="22"/>
          <w:szCs w:val="22"/>
        </w:rPr>
        <w:t xml:space="preserve">use potential 2025 tax legislation addressing expiring </w:t>
      </w:r>
      <w:r w:rsidR="00C940E3" w:rsidRPr="00EB57C1">
        <w:rPr>
          <w:rFonts w:ascii="Georgia" w:hAnsi="Georgia"/>
          <w:i/>
          <w:iCs/>
          <w:sz w:val="22"/>
          <w:szCs w:val="22"/>
        </w:rPr>
        <w:t xml:space="preserve">TCJA </w:t>
      </w:r>
      <w:r w:rsidR="00C940E3" w:rsidRPr="00EB57C1">
        <w:rPr>
          <w:rFonts w:ascii="Georgia" w:hAnsi="Georgia"/>
          <w:sz w:val="22"/>
          <w:szCs w:val="22"/>
        </w:rPr>
        <w:t>provisions to enact tax incentives to ameliorate</w:t>
      </w:r>
      <w:r w:rsidR="00D220AA" w:rsidRPr="00EB57C1">
        <w:rPr>
          <w:rFonts w:ascii="Georgia" w:hAnsi="Georgia"/>
          <w:sz w:val="22"/>
          <w:szCs w:val="22"/>
        </w:rPr>
        <w:t xml:space="preserve"> the nation’s housing supply crisis while avoiding the enactment of counterproductive and onerous revenue raisers. </w:t>
      </w:r>
    </w:p>
    <w:p w14:paraId="2BCD9294" w14:textId="77777777" w:rsidR="00AA024F" w:rsidRPr="00EB57C1" w:rsidRDefault="00AA024F" w:rsidP="00E83B70">
      <w:pPr>
        <w:ind w:left="-475" w:right="-187"/>
        <w:jc w:val="both"/>
        <w:rPr>
          <w:rFonts w:ascii="Georgia" w:hAnsi="Georgia"/>
          <w:sz w:val="22"/>
          <w:szCs w:val="22"/>
        </w:rPr>
      </w:pPr>
    </w:p>
    <w:p w14:paraId="087D1115" w14:textId="34B32D61" w:rsidR="00AA024F" w:rsidRPr="00EB57C1" w:rsidRDefault="00000000" w:rsidP="00E83B70">
      <w:pPr>
        <w:ind w:left="-475" w:right="-187"/>
        <w:jc w:val="both"/>
        <w:rPr>
          <w:rFonts w:ascii="Georgia" w:hAnsi="Georgia"/>
          <w:sz w:val="22"/>
          <w:szCs w:val="22"/>
        </w:rPr>
      </w:pPr>
      <w:r w:rsidRPr="00EB57C1">
        <w:rPr>
          <w:rFonts w:ascii="Georgia" w:hAnsi="Georgia"/>
          <w:sz w:val="22"/>
          <w:szCs w:val="22"/>
        </w:rPr>
        <w:t>As the</w:t>
      </w:r>
      <w:r w:rsidR="7244ED19" w:rsidRPr="00EB57C1">
        <w:rPr>
          <w:rFonts w:ascii="Georgia" w:hAnsi="Georgia"/>
          <w:sz w:val="22"/>
          <w:szCs w:val="22"/>
        </w:rPr>
        <w:t xml:space="preserve"> </w:t>
      </w:r>
      <w:bookmarkStart w:id="0" w:name="_Hlk160620348"/>
      <w:r w:rsidR="009D5CF5" w:rsidRPr="00EB57C1">
        <w:rPr>
          <w:rFonts w:ascii="Georgia" w:hAnsi="Georgia"/>
          <w:sz w:val="22"/>
          <w:szCs w:val="22"/>
        </w:rPr>
        <w:t xml:space="preserve">House Ways and Means </w:t>
      </w:r>
      <w:r w:rsidR="02B04BAE" w:rsidRPr="00EB57C1">
        <w:rPr>
          <w:rFonts w:ascii="Georgia" w:hAnsi="Georgia"/>
          <w:sz w:val="22"/>
          <w:szCs w:val="22"/>
        </w:rPr>
        <w:t>Committee</w:t>
      </w:r>
      <w:r w:rsidR="00403744">
        <w:rPr>
          <w:rFonts w:ascii="Georgia" w:hAnsi="Georgia"/>
          <w:sz w:val="22"/>
          <w:szCs w:val="22"/>
        </w:rPr>
        <w:t>'s Tax Teams</w:t>
      </w:r>
      <w:r w:rsidR="02B04BAE" w:rsidRPr="00EB57C1">
        <w:rPr>
          <w:rFonts w:ascii="Georgia" w:hAnsi="Georgia"/>
          <w:sz w:val="22"/>
          <w:szCs w:val="22"/>
        </w:rPr>
        <w:t xml:space="preserve"> </w:t>
      </w:r>
      <w:bookmarkEnd w:id="0"/>
      <w:r w:rsidR="008B2D54">
        <w:rPr>
          <w:rFonts w:ascii="Georgia" w:hAnsi="Georgia"/>
          <w:sz w:val="22"/>
          <w:szCs w:val="22"/>
        </w:rPr>
        <w:t>stud</w:t>
      </w:r>
      <w:r w:rsidR="00403744">
        <w:rPr>
          <w:rFonts w:ascii="Georgia" w:hAnsi="Georgia"/>
          <w:sz w:val="22"/>
          <w:szCs w:val="22"/>
        </w:rPr>
        <w:t>y</w:t>
      </w:r>
      <w:r w:rsidR="008B2D54">
        <w:rPr>
          <w:rFonts w:ascii="Georgia" w:hAnsi="Georgia"/>
          <w:sz w:val="22"/>
          <w:szCs w:val="22"/>
        </w:rPr>
        <w:t xml:space="preserve"> </w:t>
      </w:r>
      <w:r w:rsidR="008B2D54">
        <w:rPr>
          <w:rFonts w:ascii="Georgia" w:hAnsi="Georgia"/>
          <w:i/>
          <w:iCs/>
          <w:sz w:val="22"/>
          <w:szCs w:val="22"/>
        </w:rPr>
        <w:t xml:space="preserve">TCJA’s </w:t>
      </w:r>
      <w:r w:rsidR="008B2D54">
        <w:rPr>
          <w:rFonts w:ascii="Georgia" w:hAnsi="Georgia"/>
          <w:sz w:val="22"/>
          <w:szCs w:val="22"/>
        </w:rPr>
        <w:t>efficacy</w:t>
      </w:r>
      <w:r w:rsidRPr="00EB57C1">
        <w:rPr>
          <w:rFonts w:ascii="Georgia" w:hAnsi="Georgia"/>
          <w:sz w:val="22"/>
          <w:szCs w:val="22"/>
        </w:rPr>
        <w:t xml:space="preserve">, we </w:t>
      </w:r>
      <w:r w:rsidR="009D5CF5" w:rsidRPr="00EB57C1">
        <w:rPr>
          <w:rFonts w:ascii="Georgia" w:hAnsi="Georgia"/>
          <w:sz w:val="22"/>
          <w:szCs w:val="22"/>
        </w:rPr>
        <w:t xml:space="preserve">start from the premise that tax policy has a critical role to play when it comes to </w:t>
      </w:r>
      <w:r w:rsidRPr="00EB57C1">
        <w:rPr>
          <w:rFonts w:ascii="Georgia" w:hAnsi="Georgia"/>
          <w:sz w:val="22"/>
          <w:szCs w:val="22"/>
        </w:rPr>
        <w:t>promot</w:t>
      </w:r>
      <w:r w:rsidR="009D5CF5" w:rsidRPr="00EB57C1">
        <w:rPr>
          <w:rFonts w:ascii="Georgia" w:hAnsi="Georgia"/>
          <w:sz w:val="22"/>
          <w:szCs w:val="22"/>
        </w:rPr>
        <w:t>ing</w:t>
      </w:r>
      <w:r w:rsidRPr="00EB57C1">
        <w:rPr>
          <w:rFonts w:ascii="Georgia" w:hAnsi="Georgia"/>
          <w:sz w:val="22"/>
          <w:szCs w:val="22"/>
        </w:rPr>
        <w:t xml:space="preserve"> workable and sustainable policies to address our nation’s housing challenges. Our </w:t>
      </w:r>
      <w:proofErr w:type="gramStart"/>
      <w:r w:rsidRPr="00EB57C1">
        <w:rPr>
          <w:rFonts w:ascii="Georgia" w:hAnsi="Georgia"/>
          <w:sz w:val="22"/>
          <w:szCs w:val="22"/>
        </w:rPr>
        <w:t>ultimate goal</w:t>
      </w:r>
      <w:proofErr w:type="gramEnd"/>
      <w:r w:rsidRPr="00EB57C1">
        <w:rPr>
          <w:rFonts w:ascii="Georgia" w:hAnsi="Georgia"/>
          <w:sz w:val="22"/>
          <w:szCs w:val="22"/>
        </w:rPr>
        <w:t xml:space="preserve"> is to </w:t>
      </w:r>
      <w:r w:rsidR="009D5CF5" w:rsidRPr="00EB57C1">
        <w:rPr>
          <w:rFonts w:ascii="Georgia" w:hAnsi="Georgia"/>
          <w:sz w:val="22"/>
          <w:szCs w:val="22"/>
        </w:rPr>
        <w:t xml:space="preserve">ensure </w:t>
      </w:r>
      <w:r w:rsidRPr="00EB57C1">
        <w:rPr>
          <w:rFonts w:ascii="Georgia" w:hAnsi="Georgia"/>
          <w:sz w:val="22"/>
          <w:szCs w:val="22"/>
        </w:rPr>
        <w:t>that apartment providers can meet</w:t>
      </w:r>
      <w:r w:rsidR="003C5514">
        <w:rPr>
          <w:rFonts w:ascii="Georgia" w:hAnsi="Georgia"/>
          <w:sz w:val="22"/>
          <w:szCs w:val="22"/>
        </w:rPr>
        <w:t xml:space="preserve"> the</w:t>
      </w:r>
      <w:r w:rsidRPr="00EB57C1">
        <w:rPr>
          <w:rFonts w:ascii="Georgia" w:hAnsi="Georgia"/>
          <w:sz w:val="22"/>
          <w:szCs w:val="22"/>
        </w:rPr>
        <w:t xml:space="preserve"> long-term housing needs of the </w:t>
      </w:r>
      <w:r w:rsidR="2952069A" w:rsidRPr="00EB57C1">
        <w:rPr>
          <w:rFonts w:ascii="Georgia" w:hAnsi="Georgia"/>
          <w:sz w:val="22"/>
          <w:szCs w:val="22"/>
        </w:rPr>
        <w:t>40.0</w:t>
      </w:r>
      <w:r w:rsidRPr="00EB57C1">
        <w:rPr>
          <w:rFonts w:ascii="Georgia" w:hAnsi="Georgia"/>
          <w:sz w:val="22"/>
          <w:szCs w:val="22"/>
        </w:rPr>
        <w:t xml:space="preserve"> million Americans who live in apartment homes</w:t>
      </w:r>
      <w:r>
        <w:rPr>
          <w:rStyle w:val="FootnoteReference"/>
          <w:rFonts w:ascii="Georgia" w:hAnsi="Georgia"/>
          <w:sz w:val="22"/>
          <w:szCs w:val="22"/>
        </w:rPr>
        <w:footnoteReference w:id="3"/>
      </w:r>
      <w:r w:rsidRPr="00EB57C1">
        <w:rPr>
          <w:rFonts w:ascii="Georgia" w:hAnsi="Georgia"/>
          <w:sz w:val="22"/>
          <w:szCs w:val="22"/>
        </w:rPr>
        <w:t xml:space="preserve"> and continue to make significant contributions to the growth of our economy, </w:t>
      </w:r>
      <w:r w:rsidR="003C5514">
        <w:rPr>
          <w:rFonts w:ascii="Georgia" w:hAnsi="Georgia"/>
          <w:sz w:val="22"/>
          <w:szCs w:val="22"/>
        </w:rPr>
        <w:t>curren</w:t>
      </w:r>
      <w:r w:rsidRPr="00EB57C1">
        <w:rPr>
          <w:rFonts w:ascii="Georgia" w:hAnsi="Georgia"/>
          <w:sz w:val="22"/>
          <w:szCs w:val="22"/>
        </w:rPr>
        <w:t>t</w:t>
      </w:r>
      <w:r w:rsidR="003C5514">
        <w:rPr>
          <w:rFonts w:ascii="Georgia" w:hAnsi="Georgia"/>
          <w:sz w:val="22"/>
          <w:szCs w:val="22"/>
        </w:rPr>
        <w:t xml:space="preserve">ly </w:t>
      </w:r>
      <w:r w:rsidR="009820BD">
        <w:rPr>
          <w:rFonts w:ascii="Georgia" w:hAnsi="Georgia"/>
          <w:sz w:val="22"/>
          <w:szCs w:val="22"/>
        </w:rPr>
        <w:t>totaling</w:t>
      </w:r>
      <w:r w:rsidRPr="00EB57C1">
        <w:rPr>
          <w:rFonts w:ascii="Georgia" w:hAnsi="Georgia"/>
          <w:sz w:val="22"/>
          <w:szCs w:val="22"/>
        </w:rPr>
        <w:t xml:space="preserve"> $3.</w:t>
      </w:r>
      <w:r w:rsidR="2AEFDDB3" w:rsidRPr="00EB57C1">
        <w:rPr>
          <w:rFonts w:ascii="Georgia" w:hAnsi="Georgia"/>
          <w:sz w:val="22"/>
          <w:szCs w:val="22"/>
        </w:rPr>
        <w:t>9</w:t>
      </w:r>
      <w:r w:rsidRPr="00EB57C1">
        <w:rPr>
          <w:rFonts w:ascii="Georgia" w:hAnsi="Georgia"/>
          <w:sz w:val="22"/>
          <w:szCs w:val="22"/>
        </w:rPr>
        <w:t xml:space="preserve"> trillion annually.</w:t>
      </w:r>
      <w:r>
        <w:rPr>
          <w:rStyle w:val="FootnoteReference"/>
          <w:rFonts w:ascii="Georgia" w:hAnsi="Georgia"/>
          <w:sz w:val="22"/>
          <w:szCs w:val="22"/>
        </w:rPr>
        <w:footnoteReference w:id="4"/>
      </w:r>
      <w:r w:rsidRPr="00EB57C1">
        <w:rPr>
          <w:rFonts w:ascii="Georgia" w:hAnsi="Georgia"/>
          <w:sz w:val="22"/>
          <w:szCs w:val="22"/>
          <w:vertAlign w:val="superscript"/>
        </w:rPr>
        <w:t xml:space="preserve"> </w:t>
      </w:r>
      <w:bookmarkStart w:id="1" w:name="_Hlk145168106"/>
    </w:p>
    <w:p w14:paraId="410519E3" w14:textId="77777777" w:rsidR="00AA024F" w:rsidRPr="00EB57C1" w:rsidRDefault="00AA024F" w:rsidP="00E83B70">
      <w:pPr>
        <w:ind w:left="-475" w:right="-187"/>
        <w:jc w:val="both"/>
        <w:rPr>
          <w:rFonts w:ascii="Georgia" w:hAnsi="Georgia"/>
          <w:sz w:val="22"/>
          <w:szCs w:val="22"/>
        </w:rPr>
      </w:pPr>
    </w:p>
    <w:p w14:paraId="7BBEE956" w14:textId="1EFE3DF5" w:rsidR="00000E1C" w:rsidRPr="00EB57C1" w:rsidRDefault="00000000" w:rsidP="00E83B70">
      <w:pPr>
        <w:ind w:left="-475" w:right="-187"/>
        <w:jc w:val="both"/>
        <w:rPr>
          <w:rFonts w:ascii="Georgia" w:hAnsi="Georgia"/>
          <w:sz w:val="22"/>
          <w:szCs w:val="22"/>
        </w:rPr>
      </w:pPr>
      <w:r w:rsidRPr="00EB57C1">
        <w:rPr>
          <w:rFonts w:ascii="Georgia" w:hAnsi="Georgia"/>
          <w:sz w:val="22"/>
          <w:szCs w:val="22"/>
        </w:rPr>
        <w:t xml:space="preserve">Addressing our nation’s housing challenges, in general, and more specifically our housing affordability crisis, is crucial to promoting economic opportunity in our country and will require strong collaboration and partnership between policymakers and the private sector. </w:t>
      </w:r>
      <w:r w:rsidR="00E83B70" w:rsidRPr="00EB57C1">
        <w:rPr>
          <w:rFonts w:ascii="Georgia" w:hAnsi="Georgia"/>
          <w:sz w:val="22"/>
          <w:szCs w:val="22"/>
        </w:rPr>
        <w:t xml:space="preserve">Before exploring the essential role tax policy, and </w:t>
      </w:r>
      <w:r w:rsidR="00E83B70" w:rsidRPr="00EB57C1">
        <w:rPr>
          <w:rFonts w:ascii="Georgia" w:hAnsi="Georgia"/>
          <w:i/>
          <w:iCs/>
          <w:sz w:val="22"/>
          <w:szCs w:val="22"/>
        </w:rPr>
        <w:t xml:space="preserve">TCJA </w:t>
      </w:r>
      <w:r w:rsidR="00E83B70" w:rsidRPr="00EB57C1">
        <w:rPr>
          <w:rFonts w:ascii="Georgia" w:hAnsi="Georgia"/>
          <w:sz w:val="22"/>
          <w:szCs w:val="22"/>
        </w:rPr>
        <w:t xml:space="preserve">in particular, plays in multifamily housing markets, we would like to </w:t>
      </w:r>
      <w:r w:rsidR="00C0201E">
        <w:rPr>
          <w:rFonts w:ascii="Georgia" w:hAnsi="Georgia"/>
          <w:sz w:val="22"/>
          <w:szCs w:val="22"/>
        </w:rPr>
        <w:t>provide</w:t>
      </w:r>
      <w:r w:rsidR="00C0201E" w:rsidRPr="00EB57C1">
        <w:rPr>
          <w:rFonts w:ascii="Georgia" w:hAnsi="Georgia"/>
          <w:sz w:val="22"/>
          <w:szCs w:val="22"/>
        </w:rPr>
        <w:t xml:space="preserve"> </w:t>
      </w:r>
      <w:r w:rsidR="00E83B70" w:rsidRPr="00EB57C1">
        <w:rPr>
          <w:rFonts w:ascii="Georgia" w:hAnsi="Georgia"/>
          <w:sz w:val="22"/>
          <w:szCs w:val="22"/>
        </w:rPr>
        <w:t xml:space="preserve">members of the Committee </w:t>
      </w:r>
      <w:r w:rsidR="00C0201E">
        <w:rPr>
          <w:rFonts w:ascii="Georgia" w:hAnsi="Georgia"/>
          <w:sz w:val="22"/>
          <w:szCs w:val="22"/>
        </w:rPr>
        <w:t xml:space="preserve">with </w:t>
      </w:r>
      <w:r w:rsidR="00E83B70" w:rsidRPr="00EB57C1">
        <w:rPr>
          <w:rFonts w:ascii="Georgia" w:hAnsi="Georgia"/>
          <w:sz w:val="22"/>
          <w:szCs w:val="22"/>
        </w:rPr>
        <w:t>an overview of the industry and current challenges and conditions.</w:t>
      </w:r>
    </w:p>
    <w:p w14:paraId="660A7A35" w14:textId="77777777" w:rsidR="00051C87" w:rsidRPr="00EB57C1" w:rsidRDefault="00051C87" w:rsidP="00E83B70">
      <w:pPr>
        <w:ind w:left="-475" w:right="-187"/>
        <w:jc w:val="both"/>
        <w:rPr>
          <w:rFonts w:ascii="Georgia" w:hAnsi="Georgia"/>
          <w:sz w:val="22"/>
          <w:szCs w:val="22"/>
        </w:rPr>
      </w:pPr>
    </w:p>
    <w:p w14:paraId="3AFF27BC" w14:textId="77777777" w:rsidR="00E83B70" w:rsidRPr="00EB57C1" w:rsidRDefault="00E83B70" w:rsidP="00E83B70">
      <w:pPr>
        <w:ind w:left="-475" w:right="-187"/>
        <w:jc w:val="both"/>
        <w:rPr>
          <w:rFonts w:ascii="Georgia" w:hAnsi="Georgia"/>
          <w:sz w:val="22"/>
          <w:szCs w:val="22"/>
        </w:rPr>
      </w:pPr>
    </w:p>
    <w:bookmarkEnd w:id="1"/>
    <w:p w14:paraId="69A42106" w14:textId="77777777" w:rsidR="0053698E" w:rsidRPr="00EB57C1" w:rsidRDefault="00000000" w:rsidP="00E83B70">
      <w:pPr>
        <w:pStyle w:val="NormalWeb"/>
        <w:spacing w:before="0" w:beforeAutospacing="0" w:after="0" w:afterAutospacing="0"/>
        <w:ind w:left="-475" w:right="-187"/>
        <w:jc w:val="center"/>
        <w:rPr>
          <w:rFonts w:ascii="Georgia" w:hAnsi="Georgia"/>
          <w:b/>
          <w:bCs/>
          <w:sz w:val="22"/>
          <w:szCs w:val="22"/>
          <w:u w:val="single"/>
        </w:rPr>
      </w:pPr>
      <w:r w:rsidRPr="00EB57C1">
        <w:rPr>
          <w:rFonts w:ascii="Georgia" w:hAnsi="Georgia"/>
          <w:b/>
          <w:bCs/>
          <w:sz w:val="22"/>
          <w:szCs w:val="22"/>
          <w:u w:val="single"/>
        </w:rPr>
        <w:t>The Housing Imperative</w:t>
      </w:r>
    </w:p>
    <w:p w14:paraId="5893D931" w14:textId="77777777" w:rsidR="0053698E" w:rsidRPr="00EB57C1" w:rsidRDefault="0053698E" w:rsidP="00E83B70">
      <w:pPr>
        <w:pStyle w:val="NormalWeb"/>
        <w:spacing w:before="0" w:beforeAutospacing="0" w:after="0" w:afterAutospacing="0"/>
        <w:ind w:left="-475" w:right="-187"/>
        <w:rPr>
          <w:rFonts w:ascii="Georgia" w:hAnsi="Georgia"/>
          <w:b/>
          <w:bCs/>
          <w:sz w:val="22"/>
          <w:szCs w:val="22"/>
          <w:u w:val="single"/>
        </w:rPr>
      </w:pPr>
    </w:p>
    <w:p w14:paraId="3B0009DD" w14:textId="77777777" w:rsidR="006C19B6"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eastAsia="Times New Roman" w:hAnsi="Georgia"/>
          <w:sz w:val="22"/>
          <w:szCs w:val="22"/>
        </w:rPr>
        <w:t xml:space="preserve">Challenges may present themselves differently from community to community, but it will come as no surprise to Americans nationwide that we are facing a widespread housing affordability </w:t>
      </w:r>
      <w:r w:rsidR="003C5514">
        <w:rPr>
          <w:rFonts w:ascii="Georgia" w:eastAsia="Times New Roman" w:hAnsi="Georgia"/>
          <w:sz w:val="22"/>
          <w:szCs w:val="22"/>
        </w:rPr>
        <w:t>crisis</w:t>
      </w:r>
      <w:r w:rsidRPr="00EB57C1">
        <w:rPr>
          <w:rFonts w:ascii="Georgia" w:eastAsia="Times New Roman" w:hAnsi="Georgia"/>
          <w:sz w:val="22"/>
          <w:szCs w:val="22"/>
        </w:rPr>
        <w:t xml:space="preserve">. No wonder communities are feeling pinched—we simply do not have enough housing to go around. </w:t>
      </w:r>
      <w:r w:rsidRPr="00EB57C1">
        <w:rPr>
          <w:rFonts w:ascii="Georgia" w:hAnsi="Georgia"/>
          <w:sz w:val="22"/>
          <w:szCs w:val="22"/>
        </w:rPr>
        <w:t xml:space="preserve">Today, in </w:t>
      </w:r>
      <w:bookmarkStart w:id="2" w:name="_Int_Y75NvwQL"/>
      <w:r w:rsidRPr="00EB57C1">
        <w:rPr>
          <w:rFonts w:ascii="Georgia" w:hAnsi="Georgia"/>
          <w:sz w:val="22"/>
          <w:szCs w:val="22"/>
        </w:rPr>
        <w:t>more and more</w:t>
      </w:r>
      <w:bookmarkEnd w:id="2"/>
      <w:r w:rsidRPr="00EB57C1">
        <w:rPr>
          <w:rFonts w:ascii="Georgia" w:hAnsi="Georgia"/>
          <w:sz w:val="22"/>
          <w:szCs w:val="22"/>
        </w:rPr>
        <w:t xml:space="preserve"> communities, hard-working Americans are unable to rent homes due to increased costs driven by a lack of supply, barriers to development, and regulatory burdens. </w:t>
      </w:r>
    </w:p>
    <w:p w14:paraId="0B872DB1" w14:textId="77777777" w:rsidR="006C19B6" w:rsidRDefault="006C19B6" w:rsidP="00E83B70">
      <w:pPr>
        <w:pStyle w:val="NormalWeb"/>
        <w:spacing w:before="0" w:beforeAutospacing="0" w:after="0" w:afterAutospacing="0"/>
        <w:ind w:left="-475" w:right="-187"/>
        <w:jc w:val="both"/>
        <w:rPr>
          <w:rFonts w:ascii="Georgia" w:hAnsi="Georgia"/>
          <w:sz w:val="22"/>
          <w:szCs w:val="22"/>
        </w:rPr>
      </w:pPr>
    </w:p>
    <w:p w14:paraId="5BF0A0F0" w14:textId="5A43435F" w:rsidR="00000E1C" w:rsidRPr="00EB57C1" w:rsidRDefault="00000000" w:rsidP="00E83B70">
      <w:pPr>
        <w:pStyle w:val="NormalWeb"/>
        <w:spacing w:before="0" w:beforeAutospacing="0" w:after="0" w:afterAutospacing="0"/>
        <w:ind w:left="-475" w:right="-187"/>
        <w:jc w:val="both"/>
        <w:rPr>
          <w:rFonts w:ascii="Georgia" w:hAnsi="Georgia"/>
          <w:b/>
          <w:bCs/>
          <w:sz w:val="22"/>
          <w:szCs w:val="22"/>
          <w:u w:val="single"/>
        </w:rPr>
      </w:pPr>
      <w:r w:rsidRPr="00EB57C1">
        <w:rPr>
          <w:rFonts w:ascii="Georgia" w:hAnsi="Georgia"/>
          <w:sz w:val="22"/>
          <w:szCs w:val="22"/>
        </w:rPr>
        <w:t xml:space="preserve">The total share of cost-burdened households (those paying more than 30 percent of their income on housing) increased steadily from 28.0 percent in 1985 to 36.9 percent in 2021 and is growing, </w:t>
      </w:r>
      <w:r w:rsidRPr="00EB57C1">
        <w:rPr>
          <w:rFonts w:ascii="Georgia" w:hAnsi="Georgia"/>
          <w:sz w:val="22"/>
          <w:szCs w:val="22"/>
        </w:rPr>
        <w:lastRenderedPageBreak/>
        <w:t>while others have been</w:t>
      </w:r>
      <w:r w:rsidR="004103E6" w:rsidRPr="00EB57C1">
        <w:rPr>
          <w:rFonts w:ascii="Georgia" w:hAnsi="Georgia"/>
          <w:sz w:val="22"/>
          <w:szCs w:val="22"/>
        </w:rPr>
        <w:t xml:space="preserve"> </w:t>
      </w:r>
      <w:r w:rsidRPr="00EB57C1">
        <w:rPr>
          <w:rFonts w:ascii="Georgia" w:hAnsi="Georgia"/>
          <w:sz w:val="22"/>
          <w:szCs w:val="22"/>
        </w:rPr>
        <w:t>priced out of communities altogether.</w:t>
      </w:r>
      <w:r>
        <w:rPr>
          <w:rStyle w:val="FootnoteReference"/>
          <w:rFonts w:ascii="Georgia" w:hAnsi="Georgia"/>
          <w:sz w:val="22"/>
          <w:szCs w:val="22"/>
        </w:rPr>
        <w:footnoteReference w:id="5"/>
      </w:r>
      <w:r w:rsidRPr="00EB57C1">
        <w:rPr>
          <w:rFonts w:ascii="Georgia" w:hAnsi="Georgia"/>
          <w:sz w:val="22"/>
          <w:szCs w:val="22"/>
        </w:rPr>
        <w:t xml:space="preserve"> This is not sustainable, particularly in a period of higher inflation. </w:t>
      </w:r>
      <w:r w:rsidR="00C96BFB">
        <w:rPr>
          <w:rFonts w:ascii="Georgia" w:hAnsi="Georgia"/>
          <w:color w:val="333333"/>
          <w:sz w:val="22"/>
          <w:szCs w:val="22"/>
          <w:shd w:val="clear" w:color="auto" w:fill="FFFFFF"/>
        </w:rPr>
        <w:t>B</w:t>
      </w:r>
      <w:r w:rsidRPr="00EB57C1">
        <w:rPr>
          <w:rFonts w:ascii="Georgia" w:hAnsi="Georgia"/>
          <w:sz w:val="22"/>
          <w:szCs w:val="22"/>
        </w:rPr>
        <w:t>arriers to new supply – for instance, onerous regulatory hurdles, antiquated and often discriminatory zoning and land use policies at the local level, and local opposition to development (also known as NIMBYism or “Not in My Backyard” opposition)</w:t>
      </w:r>
      <w:r w:rsidR="009820BD">
        <w:rPr>
          <w:rFonts w:ascii="Georgia" w:hAnsi="Georgia"/>
          <w:sz w:val="22"/>
          <w:szCs w:val="22"/>
        </w:rPr>
        <w:t xml:space="preserve"> </w:t>
      </w:r>
      <w:r w:rsidRPr="00EB57C1">
        <w:rPr>
          <w:rFonts w:ascii="Georgia" w:hAnsi="Georgia"/>
          <w:sz w:val="22"/>
          <w:szCs w:val="22"/>
        </w:rPr>
        <w:t xml:space="preserve">– </w:t>
      </w:r>
      <w:r w:rsidR="006B341B">
        <w:rPr>
          <w:rFonts w:ascii="Georgia" w:hAnsi="Georgia"/>
          <w:sz w:val="22"/>
          <w:szCs w:val="22"/>
        </w:rPr>
        <w:t xml:space="preserve">have </w:t>
      </w:r>
      <w:r w:rsidR="00386298">
        <w:rPr>
          <w:rFonts w:ascii="Georgia" w:hAnsi="Georgia"/>
          <w:sz w:val="22"/>
          <w:szCs w:val="22"/>
        </w:rPr>
        <w:t xml:space="preserve">in large part </w:t>
      </w:r>
      <w:r w:rsidRPr="00EB57C1">
        <w:rPr>
          <w:rFonts w:ascii="Georgia" w:hAnsi="Georgia"/>
          <w:sz w:val="22"/>
          <w:szCs w:val="22"/>
        </w:rPr>
        <w:t>led the nation to this juncture. It has taken many decades to get to this point, and it will take time to reverse these trends</w:t>
      </w:r>
      <w:r w:rsidR="006B341B">
        <w:rPr>
          <w:rFonts w:ascii="Georgia" w:hAnsi="Georgia"/>
          <w:sz w:val="22"/>
          <w:szCs w:val="22"/>
        </w:rPr>
        <w:t>. Nevertheless</w:t>
      </w:r>
      <w:r w:rsidRPr="00EB57C1">
        <w:rPr>
          <w:rFonts w:ascii="Georgia" w:hAnsi="Georgia"/>
          <w:sz w:val="22"/>
          <w:szCs w:val="22"/>
        </w:rPr>
        <w:t>, it is critical that we start now to enact new and innovative policies that will incentivize new housing production.</w:t>
      </w:r>
    </w:p>
    <w:p w14:paraId="395AF586" w14:textId="77777777" w:rsidR="00000E1C" w:rsidRPr="00EB57C1" w:rsidRDefault="00000E1C" w:rsidP="00E83B70">
      <w:pPr>
        <w:pStyle w:val="NormalWeb"/>
        <w:spacing w:before="0" w:beforeAutospacing="0" w:after="0" w:afterAutospacing="0"/>
        <w:ind w:left="-475" w:right="-187"/>
        <w:jc w:val="both"/>
        <w:rPr>
          <w:rFonts w:ascii="Georgia" w:hAnsi="Georgia"/>
          <w:sz w:val="22"/>
          <w:szCs w:val="22"/>
        </w:rPr>
      </w:pPr>
    </w:p>
    <w:p w14:paraId="7189E374" w14:textId="77777777"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In addition, continued economic instability poses a serious threat to the ability of housing providers to leverage the private-market capital necessary to generate needed housing. Higher interest rates have contributed to a period of economic volatility, which is driving up the cost of building new housing, discouraging new investment, and pushing some in our sector out of the market altogether. </w:t>
      </w:r>
    </w:p>
    <w:p w14:paraId="51E7C7CF" w14:textId="77777777" w:rsidR="00000E1C" w:rsidRPr="00EB57C1" w:rsidRDefault="00000E1C" w:rsidP="00E83B70">
      <w:pPr>
        <w:pStyle w:val="NormalWeb"/>
        <w:spacing w:before="0" w:beforeAutospacing="0" w:after="0" w:afterAutospacing="0"/>
        <w:ind w:left="-475" w:right="-187"/>
        <w:jc w:val="both"/>
        <w:rPr>
          <w:rFonts w:ascii="Georgia" w:hAnsi="Georgia"/>
          <w:sz w:val="22"/>
          <w:szCs w:val="22"/>
        </w:rPr>
      </w:pPr>
    </w:p>
    <w:p w14:paraId="43E934FA" w14:textId="77777777"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Increased construction, material and labor costs, significant increases in insurance costs, and state and local property taxes have made the current operating environment extremely challenging. NMHC and NAA members are reporting that current economic and regulatory challenges are causing them to cut back significantly on development activities, in some cases, by as much as 50 percent. This slowdown has long-term implications. </w:t>
      </w:r>
    </w:p>
    <w:p w14:paraId="64A2406C" w14:textId="77777777" w:rsidR="132282A3" w:rsidRPr="00EB57C1" w:rsidRDefault="132282A3" w:rsidP="00E83B70">
      <w:pPr>
        <w:pStyle w:val="NormalWeb"/>
        <w:spacing w:before="0" w:beforeAutospacing="0" w:after="0" w:afterAutospacing="0"/>
        <w:ind w:left="-475" w:right="-187"/>
        <w:jc w:val="both"/>
        <w:rPr>
          <w:rFonts w:ascii="Georgia" w:hAnsi="Georgia"/>
          <w:sz w:val="22"/>
          <w:szCs w:val="22"/>
        </w:rPr>
      </w:pPr>
    </w:p>
    <w:p w14:paraId="52569B66" w14:textId="77777777" w:rsidR="00BE7236" w:rsidRPr="00EB57C1" w:rsidRDefault="00BE7236" w:rsidP="00E83B70">
      <w:pPr>
        <w:pStyle w:val="ListParagraph"/>
        <w:ind w:left="-475" w:right="-187"/>
        <w:contextualSpacing w:val="0"/>
        <w:jc w:val="both"/>
        <w:rPr>
          <w:rFonts w:ascii="Georgia" w:hAnsi="Georgia"/>
          <w:sz w:val="22"/>
          <w:szCs w:val="22"/>
        </w:rPr>
      </w:pPr>
    </w:p>
    <w:p w14:paraId="5F947ABC" w14:textId="77777777" w:rsidR="00000E1C" w:rsidRPr="00EB57C1" w:rsidRDefault="00000000" w:rsidP="00E83B70">
      <w:pPr>
        <w:autoSpaceDE w:val="0"/>
        <w:autoSpaceDN w:val="0"/>
        <w:adjustRightInd w:val="0"/>
        <w:ind w:left="-475" w:right="-187"/>
        <w:jc w:val="center"/>
        <w:rPr>
          <w:rFonts w:ascii="Georgia" w:hAnsi="Georgia"/>
          <w:b/>
          <w:bCs/>
          <w:color w:val="000000" w:themeColor="text1"/>
          <w:sz w:val="22"/>
          <w:szCs w:val="22"/>
          <w:u w:val="single"/>
        </w:rPr>
      </w:pPr>
      <w:r w:rsidRPr="00EB57C1">
        <w:rPr>
          <w:rFonts w:ascii="Georgia" w:hAnsi="Georgia"/>
          <w:b/>
          <w:bCs/>
          <w:color w:val="000000" w:themeColor="text1"/>
          <w:sz w:val="22"/>
          <w:szCs w:val="22"/>
          <w:u w:val="single"/>
        </w:rPr>
        <w:t>Housing Affordability: Growing Demand vs. Supply Challenges</w:t>
      </w:r>
    </w:p>
    <w:p w14:paraId="5E35609A" w14:textId="77777777" w:rsidR="132282A3" w:rsidRPr="00EB57C1" w:rsidRDefault="132282A3" w:rsidP="00E83B70">
      <w:pPr>
        <w:ind w:left="-475" w:right="-187"/>
        <w:jc w:val="center"/>
        <w:rPr>
          <w:rFonts w:ascii="Georgia" w:hAnsi="Georgia"/>
          <w:b/>
          <w:bCs/>
          <w:color w:val="000000" w:themeColor="text1"/>
          <w:sz w:val="22"/>
          <w:szCs w:val="22"/>
          <w:u w:val="single"/>
        </w:rPr>
      </w:pPr>
    </w:p>
    <w:p w14:paraId="40C7D9C6" w14:textId="2DED6601" w:rsidR="00000E1C" w:rsidRPr="00252A65" w:rsidRDefault="00000000" w:rsidP="00E83B70">
      <w:pPr>
        <w:pStyle w:val="NormalWeb"/>
        <w:spacing w:before="0" w:beforeAutospacing="0" w:after="0" w:afterAutospacing="0"/>
        <w:ind w:left="-475" w:right="-187"/>
        <w:jc w:val="both"/>
        <w:rPr>
          <w:rFonts w:ascii="Georgia" w:hAnsi="Georgia" w:cs="Georgia"/>
          <w:color w:val="000000" w:themeColor="text1"/>
          <w:sz w:val="22"/>
          <w:szCs w:val="22"/>
        </w:rPr>
      </w:pPr>
      <w:r w:rsidRPr="00EB57C1">
        <w:rPr>
          <w:rFonts w:ascii="Georgia" w:hAnsi="Georgia" w:cs="Georgia"/>
          <w:color w:val="000000" w:themeColor="text1"/>
          <w:sz w:val="22"/>
          <w:szCs w:val="22"/>
        </w:rPr>
        <w:t xml:space="preserve">It is </w:t>
      </w:r>
      <w:r w:rsidRPr="00EB57C1">
        <w:rPr>
          <w:rFonts w:ascii="Georgia" w:hAnsi="Georgia"/>
          <w:sz w:val="22"/>
          <w:szCs w:val="22"/>
        </w:rPr>
        <w:t>essential</w:t>
      </w:r>
      <w:r w:rsidRPr="00EB57C1">
        <w:rPr>
          <w:rFonts w:ascii="Georgia" w:hAnsi="Georgia" w:cs="Georgia"/>
          <w:color w:val="000000" w:themeColor="text1"/>
          <w:sz w:val="22"/>
          <w:szCs w:val="22"/>
        </w:rPr>
        <w:t xml:space="preserve"> that we build housing at all price points to meet the wide range of demand. According to </w:t>
      </w:r>
      <w:hyperlink r:id="rId11" w:history="1">
        <w:r w:rsidRPr="00EB57C1">
          <w:rPr>
            <w:rStyle w:val="Hyperlink"/>
            <w:rFonts w:ascii="Georgia" w:hAnsi="Georgia" w:cs="Georgia"/>
            <w:sz w:val="22"/>
            <w:szCs w:val="22"/>
          </w:rPr>
          <w:t>research conducted by Hoyt Advisory Services and Eigen10 Advisors, LLC</w:t>
        </w:r>
      </w:hyperlink>
      <w:r w:rsidRPr="00EB57C1">
        <w:rPr>
          <w:rFonts w:ascii="Georgia" w:hAnsi="Georgia" w:cs="Georgia"/>
          <w:color w:val="000000" w:themeColor="text1"/>
          <w:sz w:val="22"/>
          <w:szCs w:val="22"/>
        </w:rPr>
        <w:t xml:space="preserve">, and commissioned by NMHC and NAA, </w:t>
      </w:r>
      <w:r w:rsidRPr="00252A65">
        <w:rPr>
          <w:rFonts w:ascii="Georgia" w:hAnsi="Georgia" w:cs="Georgia"/>
          <w:color w:val="000000" w:themeColor="text1"/>
          <w:sz w:val="22"/>
          <w:szCs w:val="22"/>
        </w:rPr>
        <w:t xml:space="preserve">the </w:t>
      </w:r>
      <w:r w:rsidR="006B341B">
        <w:rPr>
          <w:rFonts w:ascii="Georgia" w:hAnsi="Georgia" w:cs="Georgia"/>
          <w:color w:val="000000" w:themeColor="text1"/>
          <w:sz w:val="22"/>
          <w:szCs w:val="22"/>
        </w:rPr>
        <w:t>United States</w:t>
      </w:r>
      <w:r w:rsidRPr="00252A65">
        <w:rPr>
          <w:rFonts w:ascii="Georgia" w:hAnsi="Georgia" w:cs="Georgia"/>
          <w:color w:val="000000" w:themeColor="text1"/>
          <w:sz w:val="22"/>
          <w:szCs w:val="22"/>
        </w:rPr>
        <w:t xml:space="preserve"> is facing a pressing need to build 4.3 million new apartment homes by 2035.</w:t>
      </w:r>
    </w:p>
    <w:p w14:paraId="4DFA5500" w14:textId="77777777" w:rsidR="00000E1C" w:rsidRPr="00EB57C1" w:rsidRDefault="00000E1C" w:rsidP="00E83B70">
      <w:pPr>
        <w:pStyle w:val="NormalWeb"/>
        <w:spacing w:before="0" w:beforeAutospacing="0" w:after="0" w:afterAutospacing="0"/>
        <w:ind w:left="-475" w:right="-187"/>
        <w:jc w:val="both"/>
        <w:rPr>
          <w:rFonts w:ascii="Georgia" w:hAnsi="Georgia" w:cs="Georgia"/>
          <w:b/>
          <w:bCs/>
          <w:color w:val="000000" w:themeColor="text1"/>
          <w:sz w:val="22"/>
          <w:szCs w:val="22"/>
        </w:rPr>
      </w:pPr>
    </w:p>
    <w:p w14:paraId="179BB333" w14:textId="77777777" w:rsidR="00000E1C" w:rsidRPr="00EB57C1" w:rsidRDefault="00000000" w:rsidP="00E83B70">
      <w:pPr>
        <w:pStyle w:val="NormalWeb"/>
        <w:spacing w:before="0" w:beforeAutospacing="0" w:after="0" w:afterAutospacing="0"/>
        <w:ind w:left="-475" w:right="-187"/>
        <w:jc w:val="both"/>
        <w:rPr>
          <w:rFonts w:ascii="Georgia" w:hAnsi="Georgia" w:cs="Georgia"/>
          <w:color w:val="000000" w:themeColor="text1"/>
          <w:sz w:val="22"/>
          <w:szCs w:val="22"/>
        </w:rPr>
      </w:pPr>
      <w:r w:rsidRPr="00EB57C1">
        <w:rPr>
          <w:rFonts w:ascii="Georgia" w:hAnsi="Georgia" w:cs="Georgia"/>
          <w:color w:val="000000" w:themeColor="text1"/>
          <w:sz w:val="22"/>
          <w:szCs w:val="22"/>
        </w:rPr>
        <w:t xml:space="preserve">Key findings include: </w:t>
      </w:r>
    </w:p>
    <w:p w14:paraId="4B3668F8" w14:textId="77777777" w:rsidR="00252A65" w:rsidRPr="00252A65" w:rsidRDefault="00252A65" w:rsidP="00252A65">
      <w:pPr>
        <w:pStyle w:val="ListParagraph"/>
        <w:autoSpaceDE w:val="0"/>
        <w:autoSpaceDN w:val="0"/>
        <w:adjustRightInd w:val="0"/>
        <w:spacing w:after="240"/>
        <w:ind w:left="144" w:right="-187"/>
        <w:jc w:val="both"/>
        <w:rPr>
          <w:rFonts w:ascii="Georgia" w:hAnsi="Georgia" w:cs="Georgia"/>
          <w:color w:val="000000"/>
          <w:sz w:val="22"/>
          <w:szCs w:val="22"/>
        </w:rPr>
      </w:pPr>
    </w:p>
    <w:p w14:paraId="0165C9D7" w14:textId="77777777" w:rsidR="00000E1C" w:rsidRPr="00EB57C1" w:rsidRDefault="00000000" w:rsidP="00662CA6">
      <w:pPr>
        <w:pStyle w:val="ListParagraph"/>
        <w:numPr>
          <w:ilvl w:val="0"/>
          <w:numId w:val="18"/>
        </w:numPr>
        <w:autoSpaceDE w:val="0"/>
        <w:autoSpaceDN w:val="0"/>
        <w:adjustRightInd w:val="0"/>
        <w:spacing w:after="240"/>
        <w:ind w:left="144" w:right="-187"/>
        <w:jc w:val="both"/>
        <w:rPr>
          <w:rFonts w:ascii="Georgia" w:hAnsi="Georgia" w:cs="Georgia"/>
          <w:color w:val="000000"/>
          <w:sz w:val="22"/>
          <w:szCs w:val="22"/>
        </w:rPr>
      </w:pPr>
      <w:r w:rsidRPr="00EB57C1">
        <w:rPr>
          <w:rFonts w:ascii="Georgia" w:hAnsi="Georgia" w:cs="Georgia"/>
          <w:b/>
          <w:bCs/>
          <w:color w:val="000000"/>
          <w:sz w:val="22"/>
          <w:szCs w:val="22"/>
        </w:rPr>
        <w:t xml:space="preserve">Shortage of 600,000 Apartment Homes. </w:t>
      </w:r>
      <w:r w:rsidRPr="00EB57C1">
        <w:rPr>
          <w:rFonts w:ascii="Georgia" w:hAnsi="Georgia" w:cs="Georgia"/>
          <w:color w:val="000000"/>
          <w:sz w:val="22"/>
          <w:szCs w:val="22"/>
        </w:rPr>
        <w:t xml:space="preserve">The 4.3 million apartment homes needed includes an existing 600,000 apartment home deficit because of underbuilding after the 2008 financial crisis. </w:t>
      </w:r>
    </w:p>
    <w:p w14:paraId="38FCE51E" w14:textId="77777777" w:rsidR="00115325" w:rsidRPr="00EB57C1" w:rsidRDefault="00115325" w:rsidP="00662CA6">
      <w:pPr>
        <w:pStyle w:val="ListParagraph"/>
        <w:autoSpaceDE w:val="0"/>
        <w:autoSpaceDN w:val="0"/>
        <w:adjustRightInd w:val="0"/>
        <w:spacing w:after="240"/>
        <w:ind w:left="144" w:right="-187"/>
        <w:jc w:val="both"/>
        <w:rPr>
          <w:rFonts w:ascii="Georgia" w:hAnsi="Georgia" w:cs="Georgia"/>
          <w:color w:val="000000"/>
          <w:sz w:val="22"/>
          <w:szCs w:val="22"/>
        </w:rPr>
      </w:pPr>
    </w:p>
    <w:p w14:paraId="58EE8996" w14:textId="77777777" w:rsidR="00000E1C" w:rsidRPr="00EB57C1" w:rsidRDefault="00000000" w:rsidP="00662CA6">
      <w:pPr>
        <w:pStyle w:val="ListParagraph"/>
        <w:numPr>
          <w:ilvl w:val="0"/>
          <w:numId w:val="18"/>
        </w:numPr>
        <w:autoSpaceDE w:val="0"/>
        <w:autoSpaceDN w:val="0"/>
        <w:adjustRightInd w:val="0"/>
        <w:spacing w:after="240"/>
        <w:ind w:left="144" w:right="-187"/>
        <w:jc w:val="both"/>
        <w:rPr>
          <w:rFonts w:ascii="Georgia" w:hAnsi="Georgia" w:cs="Georgia"/>
          <w:color w:val="000000"/>
          <w:sz w:val="22"/>
          <w:szCs w:val="22"/>
        </w:rPr>
      </w:pPr>
      <w:r w:rsidRPr="00EB57C1">
        <w:rPr>
          <w:rFonts w:ascii="Georgia" w:hAnsi="Georgia" w:cs="Georgia"/>
          <w:b/>
          <w:bCs/>
          <w:color w:val="000000"/>
          <w:sz w:val="22"/>
          <w:szCs w:val="22"/>
        </w:rPr>
        <w:t xml:space="preserve">Loss of Affordable Units. </w:t>
      </w:r>
      <w:r w:rsidRPr="00EB57C1">
        <w:rPr>
          <w:rFonts w:ascii="Georgia" w:hAnsi="Georgia" w:cs="Georgia"/>
          <w:color w:val="000000"/>
          <w:sz w:val="22"/>
          <w:szCs w:val="22"/>
        </w:rPr>
        <w:t xml:space="preserve">The number of affordable units (those with rents less than $1,000 per month) declined by 4.7 million from 2015 to 2020. </w:t>
      </w:r>
    </w:p>
    <w:p w14:paraId="5221350E" w14:textId="77777777" w:rsidR="00115325" w:rsidRPr="00EB57C1" w:rsidRDefault="00115325" w:rsidP="00662CA6">
      <w:pPr>
        <w:pStyle w:val="ListParagraph"/>
        <w:autoSpaceDE w:val="0"/>
        <w:autoSpaceDN w:val="0"/>
        <w:adjustRightInd w:val="0"/>
        <w:spacing w:after="240"/>
        <w:ind w:left="144" w:right="-187"/>
        <w:jc w:val="both"/>
        <w:rPr>
          <w:rFonts w:ascii="Georgia" w:hAnsi="Georgia" w:cs="Georgia"/>
          <w:color w:val="000000"/>
          <w:sz w:val="22"/>
          <w:szCs w:val="22"/>
        </w:rPr>
      </w:pPr>
    </w:p>
    <w:p w14:paraId="5EFD33B3" w14:textId="77777777" w:rsidR="00000E1C" w:rsidRPr="00EB57C1" w:rsidRDefault="00000000" w:rsidP="00253D91">
      <w:pPr>
        <w:pStyle w:val="ListParagraph"/>
        <w:numPr>
          <w:ilvl w:val="0"/>
          <w:numId w:val="18"/>
        </w:numPr>
        <w:autoSpaceDE w:val="0"/>
        <w:autoSpaceDN w:val="0"/>
        <w:adjustRightInd w:val="0"/>
        <w:spacing w:after="240"/>
        <w:ind w:left="144" w:right="-187"/>
        <w:jc w:val="both"/>
        <w:rPr>
          <w:rFonts w:ascii="Georgia" w:hAnsi="Georgia" w:cs="Georgia"/>
          <w:color w:val="000000"/>
          <w:sz w:val="22"/>
          <w:szCs w:val="22"/>
        </w:rPr>
      </w:pPr>
      <w:r w:rsidRPr="00EB57C1">
        <w:rPr>
          <w:rFonts w:ascii="Georgia" w:hAnsi="Georgia" w:cs="Georgia"/>
          <w:b/>
          <w:bCs/>
          <w:color w:val="000000"/>
          <w:sz w:val="22"/>
          <w:szCs w:val="22"/>
        </w:rPr>
        <w:t xml:space="preserve">Homeownership. </w:t>
      </w:r>
      <w:r w:rsidRPr="00EB57C1">
        <w:rPr>
          <w:rFonts w:ascii="Georgia" w:hAnsi="Georgia" w:cs="Georgia"/>
          <w:color w:val="000000"/>
          <w:sz w:val="22"/>
          <w:szCs w:val="22"/>
        </w:rPr>
        <w:t>Apartment demand also factors in a projected 3.8</w:t>
      </w:r>
      <w:r w:rsidR="00E83B70" w:rsidRPr="00EB57C1">
        <w:rPr>
          <w:rFonts w:ascii="Georgia" w:hAnsi="Georgia" w:cs="Georgia"/>
          <w:color w:val="000000"/>
          <w:sz w:val="22"/>
          <w:szCs w:val="22"/>
        </w:rPr>
        <w:t xml:space="preserve"> percent</w:t>
      </w:r>
      <w:r w:rsidRPr="00EB57C1">
        <w:rPr>
          <w:rFonts w:ascii="Georgia" w:hAnsi="Georgia" w:cs="Georgia"/>
          <w:color w:val="000000"/>
          <w:sz w:val="22"/>
          <w:szCs w:val="22"/>
        </w:rPr>
        <w:t xml:space="preserve"> increase in the homeownership rate. </w:t>
      </w:r>
    </w:p>
    <w:p w14:paraId="32B53D29" w14:textId="77777777" w:rsidR="00115325" w:rsidRPr="00EB57C1" w:rsidRDefault="00115325" w:rsidP="00662CA6">
      <w:pPr>
        <w:pStyle w:val="ListParagraph"/>
        <w:autoSpaceDE w:val="0"/>
        <w:autoSpaceDN w:val="0"/>
        <w:adjustRightInd w:val="0"/>
        <w:ind w:left="144" w:right="-187"/>
        <w:jc w:val="both"/>
        <w:rPr>
          <w:rFonts w:ascii="Georgia" w:hAnsi="Georgia" w:cs="Georgia"/>
          <w:color w:val="000000"/>
          <w:sz w:val="22"/>
          <w:szCs w:val="22"/>
        </w:rPr>
      </w:pPr>
    </w:p>
    <w:p w14:paraId="6DF80D48" w14:textId="77777777" w:rsidR="00000E1C" w:rsidRPr="00EB57C1" w:rsidRDefault="00000000" w:rsidP="00253D91">
      <w:pPr>
        <w:pStyle w:val="ListParagraph"/>
        <w:numPr>
          <w:ilvl w:val="0"/>
          <w:numId w:val="18"/>
        </w:numPr>
        <w:autoSpaceDE w:val="0"/>
        <w:autoSpaceDN w:val="0"/>
        <w:adjustRightInd w:val="0"/>
        <w:ind w:left="144" w:right="-187"/>
        <w:jc w:val="both"/>
        <w:rPr>
          <w:rFonts w:ascii="Georgia" w:hAnsi="Georgia" w:cs="Georgia"/>
          <w:color w:val="000000"/>
          <w:sz w:val="22"/>
          <w:szCs w:val="22"/>
        </w:rPr>
      </w:pPr>
      <w:r w:rsidRPr="00EB57C1">
        <w:rPr>
          <w:rFonts w:ascii="Georgia" w:hAnsi="Georgia" w:cs="Georgia"/>
          <w:b/>
          <w:bCs/>
          <w:color w:val="000000"/>
          <w:sz w:val="22"/>
          <w:szCs w:val="22"/>
        </w:rPr>
        <w:t xml:space="preserve">Immigration. </w:t>
      </w:r>
      <w:r w:rsidRPr="00EB57C1">
        <w:rPr>
          <w:rFonts w:ascii="Georgia" w:hAnsi="Georgia" w:cs="Georgia"/>
          <w:color w:val="000000"/>
          <w:sz w:val="22"/>
          <w:szCs w:val="22"/>
        </w:rPr>
        <w:t>Immigration is a significant driver of apartment demand. Levels tapered before the pandemic and have remained low, but a reversal of this trend would significantly increase apartment demand.</w:t>
      </w:r>
    </w:p>
    <w:p w14:paraId="6022769E" w14:textId="77777777" w:rsidR="00BE7236" w:rsidRPr="00EB57C1" w:rsidRDefault="00BE7236" w:rsidP="00E83B70">
      <w:pPr>
        <w:autoSpaceDE w:val="0"/>
        <w:autoSpaceDN w:val="0"/>
        <w:adjustRightInd w:val="0"/>
        <w:ind w:left="-475" w:right="-187"/>
        <w:jc w:val="both"/>
        <w:rPr>
          <w:rFonts w:ascii="Georgia" w:eastAsia="Times New Roman" w:hAnsi="Georgia"/>
          <w:b/>
          <w:bCs/>
          <w:sz w:val="22"/>
          <w:szCs w:val="22"/>
        </w:rPr>
      </w:pPr>
    </w:p>
    <w:p w14:paraId="252D8828" w14:textId="77777777" w:rsidR="003B582C" w:rsidRPr="00EB57C1" w:rsidRDefault="003B582C" w:rsidP="00E83B70">
      <w:pPr>
        <w:pStyle w:val="NormalWeb"/>
        <w:spacing w:before="0" w:beforeAutospacing="0" w:after="0" w:afterAutospacing="0"/>
        <w:ind w:left="-475" w:right="-187"/>
        <w:jc w:val="both"/>
        <w:rPr>
          <w:rFonts w:ascii="Georgia" w:hAnsi="Georgia"/>
          <w:sz w:val="22"/>
          <w:szCs w:val="22"/>
        </w:rPr>
      </w:pPr>
    </w:p>
    <w:p w14:paraId="5ECD2A91" w14:textId="77777777" w:rsidR="003B582C" w:rsidRPr="00EB57C1" w:rsidRDefault="00000000" w:rsidP="00E83B70">
      <w:pPr>
        <w:pStyle w:val="NormalWeb"/>
        <w:spacing w:before="0" w:beforeAutospacing="0" w:after="0" w:afterAutospacing="0"/>
        <w:ind w:left="-475" w:right="-187"/>
        <w:jc w:val="center"/>
        <w:rPr>
          <w:rFonts w:ascii="Georgia" w:hAnsi="Georgia"/>
          <w:b/>
          <w:bCs/>
          <w:color w:val="000000" w:themeColor="text1"/>
          <w:sz w:val="22"/>
          <w:szCs w:val="22"/>
          <w:u w:val="single"/>
        </w:rPr>
      </w:pPr>
      <w:r w:rsidRPr="00EB57C1">
        <w:rPr>
          <w:rFonts w:ascii="Georgia" w:eastAsia="Cambria" w:hAnsi="Georgia" w:cs="Times New Roman"/>
          <w:b/>
          <w:bCs/>
          <w:color w:val="000000" w:themeColor="text1"/>
          <w:sz w:val="22"/>
          <w:szCs w:val="22"/>
          <w:u w:val="single"/>
        </w:rPr>
        <w:lastRenderedPageBreak/>
        <w:t xml:space="preserve">Opportunity Abounds: </w:t>
      </w:r>
      <w:bookmarkStart w:id="3" w:name="_Hlk155700117"/>
      <w:r w:rsidRPr="00EB57C1">
        <w:rPr>
          <w:rFonts w:ascii="Georgia" w:eastAsia="Cambria" w:hAnsi="Georgia" w:cs="Times New Roman"/>
          <w:b/>
          <w:bCs/>
          <w:color w:val="000000" w:themeColor="text1"/>
          <w:sz w:val="22"/>
          <w:szCs w:val="22"/>
          <w:u w:val="single"/>
        </w:rPr>
        <w:t xml:space="preserve">Sustainable Solutions to </w:t>
      </w:r>
      <w:r w:rsidR="008B15B2" w:rsidRPr="00EB57C1">
        <w:rPr>
          <w:rFonts w:ascii="Georgia" w:eastAsia="Cambria" w:hAnsi="Georgia" w:cs="Times New Roman"/>
          <w:b/>
          <w:bCs/>
          <w:color w:val="000000" w:themeColor="text1"/>
          <w:sz w:val="22"/>
          <w:szCs w:val="22"/>
          <w:u w:val="single"/>
        </w:rPr>
        <w:t xml:space="preserve">Enhance Housing Supply and Address </w:t>
      </w:r>
      <w:r w:rsidRPr="00EB57C1">
        <w:rPr>
          <w:rFonts w:ascii="Georgia" w:eastAsia="Cambria" w:hAnsi="Georgia" w:cs="Times New Roman"/>
          <w:b/>
          <w:bCs/>
          <w:color w:val="000000" w:themeColor="text1"/>
          <w:sz w:val="22"/>
          <w:szCs w:val="22"/>
          <w:u w:val="single"/>
        </w:rPr>
        <w:t>Housing Affordability</w:t>
      </w:r>
    </w:p>
    <w:bookmarkEnd w:id="3"/>
    <w:p w14:paraId="7FE6D3D0" w14:textId="77777777" w:rsidR="132282A3" w:rsidRPr="00EB57C1" w:rsidRDefault="132282A3" w:rsidP="00E83B70">
      <w:pPr>
        <w:pStyle w:val="NormalWeb"/>
        <w:spacing w:before="0" w:beforeAutospacing="0" w:after="0" w:afterAutospacing="0"/>
        <w:ind w:left="-475" w:right="-187"/>
        <w:jc w:val="both"/>
        <w:rPr>
          <w:rFonts w:ascii="Georgia" w:hAnsi="Georgia" w:cs="Arial"/>
          <w:b/>
          <w:bCs/>
          <w:sz w:val="22"/>
          <w:szCs w:val="22"/>
          <w:u w:val="single"/>
        </w:rPr>
      </w:pPr>
    </w:p>
    <w:p w14:paraId="5558DC48" w14:textId="77777777" w:rsidR="00000E1C" w:rsidRPr="00EB57C1" w:rsidRDefault="00000000" w:rsidP="00E83B70">
      <w:pPr>
        <w:pStyle w:val="NormalWeb"/>
        <w:spacing w:before="0" w:beforeAutospacing="0" w:after="0" w:afterAutospacing="0"/>
        <w:ind w:left="-475" w:right="-187"/>
        <w:jc w:val="both"/>
        <w:rPr>
          <w:rFonts w:ascii="Georgia" w:eastAsia="Times New Roman" w:hAnsi="Georgia"/>
          <w:sz w:val="22"/>
          <w:szCs w:val="22"/>
        </w:rPr>
      </w:pPr>
      <w:r w:rsidRPr="00EB57C1">
        <w:rPr>
          <w:rFonts w:ascii="Georgia" w:eastAsia="Times New Roman" w:hAnsi="Georgia"/>
          <w:sz w:val="22"/>
          <w:szCs w:val="22"/>
        </w:rPr>
        <w:t xml:space="preserve">The good news: There is a clear path to solving this challenge. Congress must prioritize increasing our </w:t>
      </w:r>
      <w:r w:rsidRPr="00EB57C1">
        <w:rPr>
          <w:rFonts w:ascii="Georgia" w:hAnsi="Georgia"/>
          <w:sz w:val="22"/>
          <w:szCs w:val="22"/>
        </w:rPr>
        <w:t>nation’s</w:t>
      </w:r>
      <w:r w:rsidRPr="00EB57C1">
        <w:rPr>
          <w:rFonts w:ascii="Georgia" w:eastAsia="Times New Roman" w:hAnsi="Georgia"/>
          <w:sz w:val="22"/>
          <w:szCs w:val="22"/>
        </w:rPr>
        <w:t xml:space="preserve"> housing supply and support pro-housing policies that will in turn ensure greater housing stability and affordability for renters at a variety of income levels for decades to come.</w:t>
      </w:r>
    </w:p>
    <w:p w14:paraId="4D078A9A" w14:textId="77777777" w:rsidR="00000E1C" w:rsidRPr="00EB57C1" w:rsidRDefault="00000E1C" w:rsidP="009A2CD1">
      <w:pPr>
        <w:autoSpaceDE w:val="0"/>
        <w:autoSpaceDN w:val="0"/>
        <w:adjustRightInd w:val="0"/>
        <w:ind w:right="-187"/>
        <w:jc w:val="both"/>
        <w:rPr>
          <w:rFonts w:ascii="Georgia" w:hAnsi="Georgia" w:cs="Georgia"/>
          <w:color w:val="000000" w:themeColor="text1"/>
          <w:sz w:val="22"/>
          <w:szCs w:val="22"/>
        </w:rPr>
      </w:pPr>
    </w:p>
    <w:p w14:paraId="355D049F" w14:textId="09B5A6D8" w:rsidR="00000E1C" w:rsidRPr="00EB57C1" w:rsidRDefault="00000000" w:rsidP="008B15B2">
      <w:pPr>
        <w:pStyle w:val="NormalWeb"/>
        <w:spacing w:before="0" w:beforeAutospacing="0" w:after="0" w:afterAutospacing="0"/>
        <w:ind w:left="-475" w:right="-187"/>
        <w:jc w:val="both"/>
        <w:rPr>
          <w:rFonts w:ascii="Georgia" w:hAnsi="Georgia" w:cs="Georgia"/>
          <w:color w:val="000000" w:themeColor="text1"/>
          <w:sz w:val="22"/>
          <w:szCs w:val="22"/>
        </w:rPr>
      </w:pPr>
      <w:r w:rsidRPr="00EB57C1">
        <w:rPr>
          <w:rFonts w:ascii="Georgia" w:hAnsi="Georgia" w:cs="Georgia"/>
          <w:color w:val="000000" w:themeColor="text1"/>
          <w:sz w:val="22"/>
          <w:szCs w:val="22"/>
        </w:rPr>
        <w:t xml:space="preserve">While </w:t>
      </w:r>
      <w:r w:rsidRPr="00EB57C1">
        <w:rPr>
          <w:rFonts w:ascii="Georgia" w:hAnsi="Georgia"/>
          <w:sz w:val="22"/>
          <w:szCs w:val="22"/>
        </w:rPr>
        <w:t>there</w:t>
      </w:r>
      <w:r w:rsidRPr="00EB57C1">
        <w:rPr>
          <w:rFonts w:ascii="Georgia" w:hAnsi="Georgia" w:cs="Georgia"/>
          <w:color w:val="000000" w:themeColor="text1"/>
          <w:sz w:val="22"/>
          <w:szCs w:val="22"/>
        </w:rPr>
        <w:t xml:space="preserve"> is no one silver bullet, a multifaceted approach can be effective in easing market constraints. </w:t>
      </w:r>
      <w:r w:rsidR="008B15B2" w:rsidRPr="00EB57C1">
        <w:rPr>
          <w:rFonts w:ascii="Georgia" w:hAnsi="Georgia" w:cs="Georgia"/>
          <w:color w:val="000000" w:themeColor="text1"/>
          <w:sz w:val="22"/>
          <w:szCs w:val="22"/>
        </w:rPr>
        <w:t xml:space="preserve">This statement for the record focuses on the critical role </w:t>
      </w:r>
      <w:r w:rsidR="006B341B">
        <w:rPr>
          <w:rFonts w:ascii="Georgia" w:hAnsi="Georgia" w:cs="Georgia"/>
          <w:color w:val="000000" w:themeColor="text1"/>
          <w:sz w:val="22"/>
          <w:szCs w:val="22"/>
        </w:rPr>
        <w:t xml:space="preserve">that key </w:t>
      </w:r>
      <w:r w:rsidR="008B15B2" w:rsidRPr="00EB57C1">
        <w:rPr>
          <w:rFonts w:ascii="Georgia" w:hAnsi="Georgia" w:cs="Georgia"/>
          <w:color w:val="000000" w:themeColor="text1"/>
          <w:sz w:val="22"/>
          <w:szCs w:val="22"/>
        </w:rPr>
        <w:t xml:space="preserve">provisions in </w:t>
      </w:r>
      <w:r w:rsidR="008B15B2" w:rsidRPr="00EB57C1">
        <w:rPr>
          <w:rFonts w:ascii="Georgia" w:hAnsi="Georgia" w:cs="Georgia"/>
          <w:i/>
          <w:iCs/>
          <w:color w:val="000000" w:themeColor="text1"/>
          <w:sz w:val="22"/>
          <w:szCs w:val="22"/>
        </w:rPr>
        <w:t xml:space="preserve">TCJA </w:t>
      </w:r>
      <w:r w:rsidR="008B15B2" w:rsidRPr="00EB57C1">
        <w:rPr>
          <w:rFonts w:ascii="Georgia" w:hAnsi="Georgia" w:cs="Georgia"/>
          <w:color w:val="000000" w:themeColor="text1"/>
          <w:sz w:val="22"/>
          <w:szCs w:val="22"/>
        </w:rPr>
        <w:t>play in addressing housing supply. We also present additional proposals Congress should consider</w:t>
      </w:r>
      <w:r w:rsidR="00252A65">
        <w:rPr>
          <w:rFonts w:ascii="Georgia" w:hAnsi="Georgia" w:cs="Georgia"/>
          <w:color w:val="000000" w:themeColor="text1"/>
          <w:sz w:val="22"/>
          <w:szCs w:val="22"/>
        </w:rPr>
        <w:t xml:space="preserve"> as part of potential 2025 tax legislation addressing </w:t>
      </w:r>
      <w:r w:rsidR="00252A65">
        <w:rPr>
          <w:rFonts w:ascii="Georgia" w:hAnsi="Georgia" w:cs="Georgia"/>
          <w:i/>
          <w:iCs/>
          <w:color w:val="000000" w:themeColor="text1"/>
          <w:sz w:val="22"/>
          <w:szCs w:val="22"/>
        </w:rPr>
        <w:t>TCJA</w:t>
      </w:r>
      <w:r w:rsidR="008B15B2" w:rsidRPr="00EB57C1">
        <w:rPr>
          <w:rFonts w:ascii="Georgia" w:hAnsi="Georgia" w:cs="Georgia"/>
          <w:color w:val="000000" w:themeColor="text1"/>
          <w:sz w:val="22"/>
          <w:szCs w:val="22"/>
        </w:rPr>
        <w:t xml:space="preserve"> to enhance housing supply </w:t>
      </w:r>
      <w:r w:rsidR="006B341B" w:rsidRPr="00EB57C1">
        <w:rPr>
          <w:rFonts w:ascii="Georgia" w:hAnsi="Georgia" w:cs="Georgia"/>
          <w:color w:val="000000" w:themeColor="text1"/>
          <w:sz w:val="22"/>
          <w:szCs w:val="22"/>
        </w:rPr>
        <w:t xml:space="preserve">further </w:t>
      </w:r>
      <w:r w:rsidR="008B15B2" w:rsidRPr="00EB57C1">
        <w:rPr>
          <w:rFonts w:ascii="Georgia" w:hAnsi="Georgia" w:cs="Georgia"/>
          <w:color w:val="000000" w:themeColor="text1"/>
          <w:sz w:val="22"/>
          <w:szCs w:val="22"/>
        </w:rPr>
        <w:t xml:space="preserve">and ease </w:t>
      </w:r>
      <w:r w:rsidRPr="00EB57C1">
        <w:rPr>
          <w:rFonts w:ascii="Georgia" w:hAnsi="Georgia" w:cs="Georgia"/>
          <w:color w:val="000000" w:themeColor="text1"/>
          <w:sz w:val="22"/>
          <w:szCs w:val="22"/>
        </w:rPr>
        <w:t>the housing affordability crisis</w:t>
      </w:r>
      <w:r w:rsidR="008B15B2" w:rsidRPr="00EB57C1">
        <w:rPr>
          <w:rFonts w:ascii="Georgia" w:hAnsi="Georgia" w:cs="Georgia"/>
          <w:color w:val="000000" w:themeColor="text1"/>
          <w:sz w:val="22"/>
          <w:szCs w:val="22"/>
        </w:rPr>
        <w:t>.</w:t>
      </w:r>
      <w:r w:rsidRPr="00EB57C1">
        <w:rPr>
          <w:rFonts w:ascii="Georgia" w:hAnsi="Georgia" w:cs="Georgia"/>
          <w:color w:val="000000" w:themeColor="text1"/>
          <w:sz w:val="22"/>
          <w:szCs w:val="22"/>
        </w:rPr>
        <w:t xml:space="preserve"> </w:t>
      </w:r>
    </w:p>
    <w:p w14:paraId="4C8716F6" w14:textId="77777777" w:rsidR="00D80254" w:rsidRPr="00EB57C1" w:rsidRDefault="00D80254" w:rsidP="00E83B70">
      <w:pPr>
        <w:ind w:left="-475" w:right="-187"/>
        <w:jc w:val="both"/>
        <w:rPr>
          <w:rFonts w:ascii="Georgia" w:hAnsi="Georgia"/>
          <w:b/>
          <w:i/>
          <w:sz w:val="22"/>
          <w:szCs w:val="22"/>
        </w:rPr>
      </w:pPr>
    </w:p>
    <w:p w14:paraId="7588B4FA" w14:textId="77777777" w:rsidR="132282A3" w:rsidRPr="00EB57C1" w:rsidRDefault="132282A3" w:rsidP="00E83B70">
      <w:pPr>
        <w:pStyle w:val="NormalWeb"/>
        <w:spacing w:before="0" w:beforeAutospacing="0" w:after="0" w:afterAutospacing="0"/>
        <w:ind w:left="-475" w:right="-187"/>
        <w:jc w:val="both"/>
        <w:rPr>
          <w:rFonts w:ascii="Georgia" w:hAnsi="Georgia" w:cs="Arial"/>
          <w:sz w:val="22"/>
          <w:szCs w:val="22"/>
        </w:rPr>
      </w:pPr>
    </w:p>
    <w:p w14:paraId="1893E451" w14:textId="39BA87FE" w:rsidR="00000E1C" w:rsidRPr="00EB57C1" w:rsidRDefault="00000000" w:rsidP="00253D91">
      <w:pPr>
        <w:pStyle w:val="NormalWeb"/>
        <w:spacing w:before="0" w:beforeAutospacing="0" w:after="0" w:afterAutospacing="0"/>
        <w:ind w:left="-475" w:right="-187"/>
        <w:jc w:val="center"/>
        <w:rPr>
          <w:rFonts w:ascii="Georgia" w:hAnsi="Georgia"/>
          <w:b/>
          <w:bCs/>
          <w:sz w:val="22"/>
          <w:szCs w:val="22"/>
          <w:u w:val="single"/>
        </w:rPr>
      </w:pPr>
      <w:r w:rsidRPr="00EB57C1">
        <w:rPr>
          <w:rFonts w:ascii="Georgia" w:hAnsi="Georgia" w:cs="Arial"/>
          <w:b/>
          <w:bCs/>
          <w:sz w:val="22"/>
          <w:szCs w:val="22"/>
          <w:u w:val="single"/>
        </w:rPr>
        <w:t>Enact</w:t>
      </w:r>
      <w:r w:rsidRPr="00EB57C1">
        <w:rPr>
          <w:rFonts w:ascii="Georgia" w:hAnsi="Georgia"/>
          <w:b/>
          <w:bCs/>
          <w:sz w:val="22"/>
          <w:szCs w:val="22"/>
          <w:u w:val="single"/>
        </w:rPr>
        <w:t xml:space="preserve"> and Enhance Tax Policy </w:t>
      </w:r>
      <w:r w:rsidR="006B341B">
        <w:rPr>
          <w:rFonts w:ascii="Georgia" w:hAnsi="Georgia"/>
          <w:b/>
          <w:bCs/>
          <w:sz w:val="22"/>
          <w:szCs w:val="22"/>
          <w:u w:val="single"/>
        </w:rPr>
        <w:t>t</w:t>
      </w:r>
      <w:r w:rsidRPr="00EB57C1">
        <w:rPr>
          <w:rFonts w:ascii="Georgia" w:hAnsi="Georgia"/>
          <w:b/>
          <w:bCs/>
          <w:sz w:val="22"/>
          <w:szCs w:val="22"/>
          <w:u w:val="single"/>
        </w:rPr>
        <w:t>hat Promotes Housing Supply</w:t>
      </w:r>
    </w:p>
    <w:p w14:paraId="7CAAB6E3" w14:textId="77777777" w:rsidR="00000E1C" w:rsidRPr="00EB57C1" w:rsidRDefault="00000E1C" w:rsidP="00E83B70">
      <w:pPr>
        <w:ind w:left="-475" w:right="-187"/>
        <w:jc w:val="both"/>
        <w:rPr>
          <w:rFonts w:ascii="Georgia" w:hAnsi="Georgia"/>
          <w:b/>
          <w:bCs/>
          <w:sz w:val="22"/>
          <w:szCs w:val="22"/>
          <w:u w:val="single"/>
        </w:rPr>
      </w:pPr>
    </w:p>
    <w:p w14:paraId="3C371CE6" w14:textId="1182D799"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While it will take a variety of tax and non-tax approaches to increase supply, the rental housing industry believes tax policy </w:t>
      </w:r>
      <w:r w:rsidR="006B341B">
        <w:rPr>
          <w:rFonts w:ascii="Georgia" w:hAnsi="Georgia"/>
          <w:sz w:val="22"/>
          <w:szCs w:val="22"/>
        </w:rPr>
        <w:t xml:space="preserve">continues to </w:t>
      </w:r>
      <w:r w:rsidRPr="00EB57C1">
        <w:rPr>
          <w:rFonts w:ascii="Georgia" w:hAnsi="Georgia"/>
          <w:sz w:val="22"/>
          <w:szCs w:val="22"/>
        </w:rPr>
        <w:t>play a critical role in this regard. To this end, we strongly urge Congress to:</w:t>
      </w:r>
    </w:p>
    <w:p w14:paraId="295C75E7" w14:textId="77777777" w:rsidR="132282A3" w:rsidRPr="00EB57C1" w:rsidRDefault="132282A3" w:rsidP="00253D91">
      <w:pPr>
        <w:pStyle w:val="NormalWeb"/>
        <w:spacing w:before="0" w:beforeAutospacing="0" w:after="0" w:afterAutospacing="0"/>
        <w:ind w:left="-360" w:right="-187"/>
        <w:jc w:val="both"/>
        <w:rPr>
          <w:rFonts w:ascii="Georgia" w:hAnsi="Georgia"/>
          <w:sz w:val="22"/>
          <w:szCs w:val="22"/>
        </w:rPr>
      </w:pPr>
    </w:p>
    <w:p w14:paraId="5B23EA4B" w14:textId="62B4CA61" w:rsidR="00F35E23" w:rsidRPr="00EB57C1" w:rsidRDefault="00000000" w:rsidP="00253D91">
      <w:pPr>
        <w:pStyle w:val="ListParagraph"/>
        <w:numPr>
          <w:ilvl w:val="0"/>
          <w:numId w:val="17"/>
        </w:numPr>
        <w:spacing w:after="240"/>
        <w:ind w:left="245" w:right="-187"/>
        <w:jc w:val="both"/>
        <w:rPr>
          <w:rFonts w:ascii="Georgia" w:hAnsi="Georgia" w:cs="Georgia"/>
          <w:color w:val="000000" w:themeColor="text1"/>
          <w:sz w:val="22"/>
          <w:szCs w:val="22"/>
        </w:rPr>
      </w:pPr>
      <w:r w:rsidRPr="00EB57C1">
        <w:rPr>
          <w:rFonts w:ascii="Georgia" w:hAnsi="Georgia" w:cs="Georgia"/>
          <w:color w:val="000000" w:themeColor="text1"/>
          <w:sz w:val="22"/>
          <w:szCs w:val="22"/>
        </w:rPr>
        <w:t xml:space="preserve">Make permanent </w:t>
      </w:r>
      <w:r w:rsidR="00662CA6" w:rsidRPr="00EB57C1">
        <w:rPr>
          <w:rFonts w:ascii="Georgia" w:hAnsi="Georgia" w:cs="Georgia"/>
          <w:color w:val="000000" w:themeColor="text1"/>
          <w:sz w:val="22"/>
          <w:szCs w:val="22"/>
        </w:rPr>
        <w:t xml:space="preserve">critical provisions enacted as part of </w:t>
      </w:r>
      <w:r w:rsidR="00662CA6" w:rsidRPr="00EB57C1">
        <w:rPr>
          <w:rFonts w:ascii="Georgia" w:hAnsi="Georgia" w:cs="Georgia"/>
          <w:i/>
          <w:iCs/>
          <w:color w:val="000000" w:themeColor="text1"/>
          <w:sz w:val="22"/>
          <w:szCs w:val="22"/>
        </w:rPr>
        <w:t xml:space="preserve">TCJA, </w:t>
      </w:r>
      <w:r w:rsidR="00662CA6" w:rsidRPr="00EB57C1">
        <w:rPr>
          <w:rFonts w:ascii="Georgia" w:hAnsi="Georgia" w:cs="Georgia"/>
          <w:color w:val="000000" w:themeColor="text1"/>
          <w:sz w:val="22"/>
          <w:szCs w:val="22"/>
        </w:rPr>
        <w:t xml:space="preserve">namely those pertaining to </w:t>
      </w:r>
      <w:r w:rsidR="006B341B">
        <w:rPr>
          <w:rFonts w:ascii="Georgia" w:hAnsi="Georgia" w:cs="Georgia"/>
          <w:color w:val="000000" w:themeColor="text1"/>
          <w:sz w:val="22"/>
          <w:szCs w:val="22"/>
        </w:rPr>
        <w:t xml:space="preserve">individual </w:t>
      </w:r>
      <w:r w:rsidRPr="00EB57C1">
        <w:rPr>
          <w:rFonts w:ascii="Georgia" w:hAnsi="Georgia" w:cs="Georgia"/>
          <w:color w:val="000000" w:themeColor="text1"/>
          <w:sz w:val="22"/>
          <w:szCs w:val="22"/>
        </w:rPr>
        <w:t>tax rates</w:t>
      </w:r>
      <w:r w:rsidR="00662CA6" w:rsidRPr="00EB57C1">
        <w:rPr>
          <w:rFonts w:ascii="Georgia" w:hAnsi="Georgia" w:cs="Georgia"/>
          <w:color w:val="000000" w:themeColor="text1"/>
          <w:sz w:val="22"/>
          <w:szCs w:val="22"/>
        </w:rPr>
        <w:t>,</w:t>
      </w:r>
      <w:r w:rsidRPr="00EB57C1">
        <w:rPr>
          <w:rFonts w:ascii="Georgia" w:hAnsi="Georgia" w:cs="Georgia"/>
          <w:color w:val="000000" w:themeColor="text1"/>
          <w:sz w:val="22"/>
          <w:szCs w:val="22"/>
        </w:rPr>
        <w:t xml:space="preserve"> the 20</w:t>
      </w:r>
      <w:r w:rsidR="006B341B">
        <w:rPr>
          <w:rFonts w:ascii="Georgia" w:hAnsi="Georgia" w:cs="Georgia"/>
          <w:color w:val="000000" w:themeColor="text1"/>
          <w:sz w:val="22"/>
          <w:szCs w:val="22"/>
        </w:rPr>
        <w:t>-</w:t>
      </w:r>
      <w:r w:rsidRPr="00EB57C1">
        <w:rPr>
          <w:rFonts w:ascii="Georgia" w:hAnsi="Georgia" w:cs="Georgia"/>
          <w:color w:val="000000" w:themeColor="text1"/>
          <w:sz w:val="22"/>
          <w:szCs w:val="22"/>
        </w:rPr>
        <w:t>percent qualified business income deduction</w:t>
      </w:r>
      <w:r w:rsidR="006B341B">
        <w:rPr>
          <w:rFonts w:ascii="Georgia" w:hAnsi="Georgia" w:cs="Georgia"/>
          <w:color w:val="000000" w:themeColor="text1"/>
          <w:sz w:val="22"/>
          <w:szCs w:val="22"/>
        </w:rPr>
        <w:t xml:space="preserve"> (</w:t>
      </w:r>
      <w:r w:rsidR="00BB4837">
        <w:rPr>
          <w:rFonts w:ascii="Georgia" w:hAnsi="Georgia" w:cs="Georgia"/>
          <w:color w:val="000000" w:themeColor="text1"/>
          <w:sz w:val="22"/>
          <w:szCs w:val="22"/>
        </w:rPr>
        <w:t xml:space="preserve">Section </w:t>
      </w:r>
      <w:r w:rsidR="006B341B">
        <w:rPr>
          <w:rFonts w:ascii="Georgia" w:hAnsi="Georgia" w:cs="Georgia"/>
          <w:color w:val="000000" w:themeColor="text1"/>
          <w:sz w:val="22"/>
          <w:szCs w:val="22"/>
        </w:rPr>
        <w:t>199A)</w:t>
      </w:r>
      <w:r w:rsidR="00662CA6" w:rsidRPr="00EB57C1">
        <w:rPr>
          <w:rFonts w:ascii="Georgia" w:hAnsi="Georgia" w:cs="Georgia"/>
          <w:color w:val="000000" w:themeColor="text1"/>
          <w:sz w:val="22"/>
          <w:szCs w:val="22"/>
        </w:rPr>
        <w:t xml:space="preserve">, and the </w:t>
      </w:r>
      <w:r w:rsidR="006B341B">
        <w:rPr>
          <w:rFonts w:ascii="Georgia" w:hAnsi="Georgia" w:cs="Georgia"/>
          <w:color w:val="000000" w:themeColor="text1"/>
          <w:sz w:val="22"/>
          <w:szCs w:val="22"/>
        </w:rPr>
        <w:t xml:space="preserve">expanded </w:t>
      </w:r>
      <w:r w:rsidR="00662CA6" w:rsidRPr="00EB57C1">
        <w:rPr>
          <w:rFonts w:ascii="Georgia" w:hAnsi="Georgia" w:cs="Georgia"/>
          <w:color w:val="000000" w:themeColor="text1"/>
          <w:sz w:val="22"/>
          <w:szCs w:val="22"/>
        </w:rPr>
        <w:t>estate</w:t>
      </w:r>
      <w:r w:rsidR="006B341B">
        <w:rPr>
          <w:rFonts w:ascii="Georgia" w:hAnsi="Georgia" w:cs="Georgia"/>
          <w:color w:val="000000" w:themeColor="text1"/>
          <w:sz w:val="22"/>
          <w:szCs w:val="22"/>
        </w:rPr>
        <w:t>-</w:t>
      </w:r>
      <w:r w:rsidR="00662CA6" w:rsidRPr="00EB57C1">
        <w:rPr>
          <w:rFonts w:ascii="Georgia" w:hAnsi="Georgia" w:cs="Georgia"/>
          <w:color w:val="000000" w:themeColor="text1"/>
          <w:sz w:val="22"/>
          <w:szCs w:val="22"/>
        </w:rPr>
        <w:t>tax</w:t>
      </w:r>
      <w:r w:rsidR="006B341B">
        <w:rPr>
          <w:rFonts w:ascii="Georgia" w:hAnsi="Georgia" w:cs="Georgia"/>
          <w:color w:val="000000" w:themeColor="text1"/>
          <w:sz w:val="22"/>
          <w:szCs w:val="22"/>
        </w:rPr>
        <w:t xml:space="preserve"> exemption</w:t>
      </w:r>
      <w:r w:rsidR="00662CA6" w:rsidRPr="00EB57C1">
        <w:rPr>
          <w:rFonts w:ascii="Georgia" w:hAnsi="Georgia" w:cs="Georgia"/>
          <w:color w:val="000000" w:themeColor="text1"/>
          <w:sz w:val="22"/>
          <w:szCs w:val="22"/>
        </w:rPr>
        <w:t>.</w:t>
      </w:r>
      <w:r w:rsidRPr="00EB57C1">
        <w:rPr>
          <w:rFonts w:ascii="Georgia" w:hAnsi="Georgia" w:cs="Georgia"/>
          <w:color w:val="000000" w:themeColor="text1"/>
          <w:sz w:val="22"/>
          <w:szCs w:val="22"/>
        </w:rPr>
        <w:t xml:space="preserve"> </w:t>
      </w:r>
    </w:p>
    <w:p w14:paraId="0BE0351D" w14:textId="77777777" w:rsidR="00662CA6" w:rsidRPr="00EB57C1" w:rsidRDefault="00662CA6" w:rsidP="00253D91">
      <w:pPr>
        <w:pStyle w:val="ListParagraph"/>
        <w:spacing w:after="240"/>
        <w:ind w:left="245" w:right="-187"/>
        <w:jc w:val="both"/>
        <w:rPr>
          <w:rFonts w:ascii="Georgia" w:hAnsi="Georgia" w:cs="Georgia"/>
          <w:color w:val="000000" w:themeColor="text1"/>
          <w:sz w:val="22"/>
          <w:szCs w:val="22"/>
        </w:rPr>
      </w:pPr>
    </w:p>
    <w:p w14:paraId="0B53B3F5" w14:textId="77777777" w:rsidR="00842A5E" w:rsidRDefault="00000000" w:rsidP="00842A5E">
      <w:pPr>
        <w:pStyle w:val="ListParagraph"/>
        <w:numPr>
          <w:ilvl w:val="0"/>
          <w:numId w:val="17"/>
        </w:numPr>
        <w:spacing w:after="240"/>
        <w:ind w:left="245" w:right="-187"/>
        <w:jc w:val="both"/>
        <w:rPr>
          <w:rFonts w:ascii="Georgia" w:hAnsi="Georgia" w:cs="Georgia"/>
          <w:color w:val="000000" w:themeColor="text1"/>
          <w:sz w:val="22"/>
          <w:szCs w:val="22"/>
        </w:rPr>
      </w:pPr>
      <w:r w:rsidRPr="00EB57C1">
        <w:rPr>
          <w:rFonts w:ascii="Georgia" w:hAnsi="Georgia" w:cs="Georgia"/>
          <w:color w:val="000000" w:themeColor="text1"/>
          <w:sz w:val="22"/>
          <w:szCs w:val="22"/>
        </w:rPr>
        <w:t xml:space="preserve">Use </w:t>
      </w:r>
      <w:r w:rsidR="00B20329" w:rsidRPr="00EB57C1">
        <w:rPr>
          <w:rFonts w:ascii="Georgia" w:hAnsi="Georgia" w:cs="Georgia"/>
          <w:color w:val="000000" w:themeColor="text1"/>
          <w:sz w:val="22"/>
          <w:szCs w:val="22"/>
        </w:rPr>
        <w:t xml:space="preserve">potential </w:t>
      </w:r>
      <w:r w:rsidRPr="00EB57C1">
        <w:rPr>
          <w:rFonts w:ascii="Georgia" w:hAnsi="Georgia" w:cs="Georgia"/>
          <w:color w:val="000000" w:themeColor="text1"/>
          <w:sz w:val="22"/>
          <w:szCs w:val="22"/>
        </w:rPr>
        <w:t xml:space="preserve">2025 tax legislation addressing expiring </w:t>
      </w:r>
      <w:r w:rsidRPr="00EB57C1">
        <w:rPr>
          <w:rFonts w:ascii="Georgia" w:hAnsi="Georgia" w:cs="Georgia"/>
          <w:i/>
          <w:iCs/>
          <w:color w:val="000000" w:themeColor="text1"/>
          <w:sz w:val="22"/>
          <w:szCs w:val="22"/>
        </w:rPr>
        <w:t xml:space="preserve">TCJA </w:t>
      </w:r>
      <w:r w:rsidRPr="00EB57C1">
        <w:rPr>
          <w:rFonts w:ascii="Georgia" w:hAnsi="Georgia" w:cs="Georgia"/>
          <w:color w:val="000000" w:themeColor="text1"/>
          <w:sz w:val="22"/>
          <w:szCs w:val="22"/>
        </w:rPr>
        <w:t>provision</w:t>
      </w:r>
      <w:r>
        <w:rPr>
          <w:rFonts w:ascii="Georgia" w:hAnsi="Georgia" w:cs="Georgia"/>
          <w:color w:val="000000" w:themeColor="text1"/>
          <w:sz w:val="22"/>
          <w:szCs w:val="22"/>
        </w:rPr>
        <w:t>s</w:t>
      </w:r>
      <w:r w:rsidRPr="00EB57C1">
        <w:rPr>
          <w:rFonts w:ascii="Georgia" w:hAnsi="Georgia" w:cs="Georgia"/>
          <w:color w:val="000000" w:themeColor="text1"/>
          <w:sz w:val="22"/>
          <w:szCs w:val="22"/>
        </w:rPr>
        <w:t xml:space="preserve"> to enact</w:t>
      </w:r>
      <w:r w:rsidR="00662CA6" w:rsidRPr="00EB57C1">
        <w:rPr>
          <w:rFonts w:ascii="Georgia" w:hAnsi="Georgia" w:cs="Georgia"/>
          <w:color w:val="000000" w:themeColor="text1"/>
          <w:sz w:val="22"/>
          <w:szCs w:val="22"/>
        </w:rPr>
        <w:t xml:space="preserve"> </w:t>
      </w:r>
      <w:r w:rsidR="00206FD7" w:rsidRPr="00EB57C1">
        <w:rPr>
          <w:rFonts w:ascii="Georgia" w:hAnsi="Georgia" w:cs="Georgia"/>
          <w:color w:val="000000" w:themeColor="text1"/>
          <w:sz w:val="22"/>
          <w:szCs w:val="22"/>
        </w:rPr>
        <w:t xml:space="preserve">other </w:t>
      </w:r>
      <w:r w:rsidR="00662CA6" w:rsidRPr="00EB57C1">
        <w:rPr>
          <w:rFonts w:ascii="Georgia" w:hAnsi="Georgia" w:cs="Georgia"/>
          <w:color w:val="000000" w:themeColor="text1"/>
          <w:sz w:val="22"/>
          <w:szCs w:val="22"/>
        </w:rPr>
        <w:t xml:space="preserve">tax </w:t>
      </w:r>
      <w:r>
        <w:rPr>
          <w:rFonts w:ascii="Georgia" w:hAnsi="Georgia" w:cs="Georgia"/>
          <w:color w:val="000000" w:themeColor="text1"/>
          <w:sz w:val="22"/>
          <w:szCs w:val="22"/>
        </w:rPr>
        <w:t xml:space="preserve">incentives </w:t>
      </w:r>
      <w:r w:rsidR="00662CA6" w:rsidRPr="00EB57C1">
        <w:rPr>
          <w:rFonts w:ascii="Georgia" w:hAnsi="Georgia" w:cs="Georgia"/>
          <w:color w:val="000000" w:themeColor="text1"/>
          <w:sz w:val="22"/>
          <w:szCs w:val="22"/>
        </w:rPr>
        <w:t xml:space="preserve">to boost housing supply, including those that would: </w:t>
      </w:r>
    </w:p>
    <w:p w14:paraId="3D21CD75" w14:textId="77777777" w:rsidR="006E3C1F" w:rsidRDefault="006E3C1F" w:rsidP="006E3C1F">
      <w:pPr>
        <w:pStyle w:val="ListParagraph"/>
        <w:spacing w:after="240"/>
        <w:ind w:left="1080" w:right="-187"/>
        <w:jc w:val="both"/>
        <w:rPr>
          <w:rFonts w:ascii="Georgia" w:hAnsi="Georgia" w:cs="Georgia"/>
          <w:color w:val="000000" w:themeColor="text1"/>
          <w:sz w:val="22"/>
          <w:szCs w:val="22"/>
        </w:rPr>
      </w:pPr>
    </w:p>
    <w:p w14:paraId="5C095CE5" w14:textId="41783F51" w:rsidR="00842A5E" w:rsidRPr="00842A5E" w:rsidRDefault="00000000" w:rsidP="00842A5E">
      <w:pPr>
        <w:pStyle w:val="ListParagraph"/>
        <w:numPr>
          <w:ilvl w:val="1"/>
          <w:numId w:val="17"/>
        </w:numPr>
        <w:spacing w:after="240"/>
        <w:ind w:left="1080" w:right="-187"/>
        <w:jc w:val="both"/>
        <w:rPr>
          <w:rFonts w:ascii="Georgia" w:hAnsi="Georgia" w:cs="Georgia"/>
          <w:color w:val="000000" w:themeColor="text1"/>
          <w:sz w:val="22"/>
          <w:szCs w:val="22"/>
        </w:rPr>
      </w:pPr>
      <w:r w:rsidRPr="00842A5E">
        <w:rPr>
          <w:rFonts w:ascii="Georgia" w:hAnsi="Georgia" w:cs="Georgia"/>
          <w:color w:val="000000" w:themeColor="text1"/>
          <w:sz w:val="22"/>
          <w:szCs w:val="22"/>
        </w:rPr>
        <w:t xml:space="preserve">Expand and enhance the Low-Income Housing Tax </w:t>
      </w:r>
      <w:proofErr w:type="gramStart"/>
      <w:r w:rsidRPr="00842A5E">
        <w:rPr>
          <w:rFonts w:ascii="Georgia" w:hAnsi="Georgia" w:cs="Georgia"/>
          <w:color w:val="000000" w:themeColor="text1"/>
          <w:sz w:val="22"/>
          <w:szCs w:val="22"/>
        </w:rPr>
        <w:t>Credit;</w:t>
      </w:r>
      <w:proofErr w:type="gramEnd"/>
    </w:p>
    <w:p w14:paraId="49E6203A" w14:textId="3711B5C7" w:rsidR="00842A5E" w:rsidRPr="00842A5E" w:rsidRDefault="00000000" w:rsidP="006E3C1F">
      <w:pPr>
        <w:pStyle w:val="ListParagraph"/>
        <w:numPr>
          <w:ilvl w:val="1"/>
          <w:numId w:val="17"/>
        </w:numPr>
        <w:spacing w:after="240"/>
        <w:ind w:left="1080" w:right="-187"/>
        <w:jc w:val="both"/>
        <w:rPr>
          <w:rFonts w:ascii="Georgia" w:hAnsi="Georgia" w:cs="Georgia"/>
          <w:color w:val="000000" w:themeColor="text1"/>
          <w:sz w:val="22"/>
          <w:szCs w:val="22"/>
        </w:rPr>
      </w:pPr>
      <w:r w:rsidRPr="00842A5E">
        <w:rPr>
          <w:rFonts w:ascii="Georgia" w:hAnsi="Georgia" w:cs="Georgia"/>
          <w:color w:val="000000" w:themeColor="text1"/>
          <w:sz w:val="22"/>
          <w:szCs w:val="22"/>
        </w:rPr>
        <w:t xml:space="preserve">Enact the </w:t>
      </w:r>
      <w:r w:rsidR="004103E6" w:rsidRPr="00842A5E">
        <w:rPr>
          <w:rFonts w:ascii="Georgia" w:hAnsi="Georgia" w:cs="Georgia"/>
          <w:i/>
          <w:iCs/>
          <w:color w:val="000000" w:themeColor="text1"/>
          <w:sz w:val="22"/>
          <w:szCs w:val="22"/>
        </w:rPr>
        <w:t>Workforce</w:t>
      </w:r>
      <w:r w:rsidRPr="00842A5E">
        <w:rPr>
          <w:rFonts w:ascii="Georgia" w:hAnsi="Georgia" w:cs="Georgia"/>
          <w:i/>
          <w:iCs/>
          <w:color w:val="000000" w:themeColor="text1"/>
          <w:sz w:val="22"/>
          <w:szCs w:val="22"/>
        </w:rPr>
        <w:t xml:space="preserve"> Housing Tax Credit</w:t>
      </w:r>
      <w:r w:rsidR="004103E6" w:rsidRPr="00842A5E">
        <w:rPr>
          <w:rFonts w:ascii="Georgia" w:hAnsi="Georgia" w:cs="Georgia"/>
          <w:i/>
          <w:iCs/>
          <w:color w:val="000000" w:themeColor="text1"/>
          <w:sz w:val="22"/>
          <w:szCs w:val="22"/>
        </w:rPr>
        <w:t xml:space="preserve"> Act</w:t>
      </w:r>
      <w:r w:rsidRPr="00842A5E">
        <w:rPr>
          <w:rFonts w:ascii="Georgia" w:hAnsi="Georgia" w:cs="Georgia"/>
          <w:color w:val="000000" w:themeColor="text1"/>
          <w:sz w:val="22"/>
          <w:szCs w:val="22"/>
        </w:rPr>
        <w:t xml:space="preserve"> to support workforce </w:t>
      </w:r>
      <w:proofErr w:type="gramStart"/>
      <w:r w:rsidRPr="00842A5E">
        <w:rPr>
          <w:rFonts w:ascii="Georgia" w:hAnsi="Georgia" w:cs="Georgia"/>
          <w:color w:val="000000" w:themeColor="text1"/>
          <w:sz w:val="22"/>
          <w:szCs w:val="22"/>
        </w:rPr>
        <w:t>housing;</w:t>
      </w:r>
      <w:proofErr w:type="gramEnd"/>
    </w:p>
    <w:p w14:paraId="0352D582" w14:textId="3D776DBB" w:rsidR="00842A5E" w:rsidRPr="00842A5E" w:rsidRDefault="00000000" w:rsidP="006E3C1F">
      <w:pPr>
        <w:pStyle w:val="ListParagraph"/>
        <w:numPr>
          <w:ilvl w:val="1"/>
          <w:numId w:val="17"/>
        </w:numPr>
        <w:spacing w:after="240"/>
        <w:ind w:left="1080" w:right="-187"/>
        <w:jc w:val="both"/>
        <w:rPr>
          <w:rFonts w:ascii="Georgia" w:hAnsi="Georgia" w:cs="Georgia"/>
          <w:color w:val="000000" w:themeColor="text1"/>
          <w:sz w:val="22"/>
          <w:szCs w:val="22"/>
        </w:rPr>
      </w:pPr>
      <w:r w:rsidRPr="00842A5E">
        <w:rPr>
          <w:rFonts w:ascii="Georgia" w:hAnsi="Georgia" w:cs="Georgia"/>
          <w:color w:val="000000" w:themeColor="text1"/>
          <w:sz w:val="22"/>
          <w:szCs w:val="22"/>
        </w:rPr>
        <w:t>Enhance Opportunity Zones</w:t>
      </w:r>
      <w:r w:rsidR="00206FD7" w:rsidRPr="00842A5E">
        <w:rPr>
          <w:rFonts w:ascii="Georgia" w:hAnsi="Georgia" w:cs="Georgia"/>
          <w:color w:val="000000" w:themeColor="text1"/>
          <w:sz w:val="22"/>
          <w:szCs w:val="22"/>
        </w:rPr>
        <w:t xml:space="preserve">, which were enacted as part of </w:t>
      </w:r>
      <w:r w:rsidR="00206FD7" w:rsidRPr="00842A5E">
        <w:rPr>
          <w:rFonts w:ascii="Georgia" w:hAnsi="Georgia" w:cs="Georgia"/>
          <w:i/>
          <w:iCs/>
          <w:color w:val="000000" w:themeColor="text1"/>
          <w:sz w:val="22"/>
          <w:szCs w:val="22"/>
        </w:rPr>
        <w:t>TCJA</w:t>
      </w:r>
      <w:r w:rsidR="00206FD7" w:rsidRPr="00842A5E">
        <w:rPr>
          <w:rFonts w:ascii="Georgia" w:hAnsi="Georgia" w:cs="Georgia"/>
          <w:color w:val="000000" w:themeColor="text1"/>
          <w:sz w:val="22"/>
          <w:szCs w:val="22"/>
        </w:rPr>
        <w:t>,</w:t>
      </w:r>
      <w:r w:rsidRPr="00842A5E">
        <w:rPr>
          <w:rFonts w:ascii="Georgia" w:hAnsi="Georgia" w:cs="Georgia"/>
          <w:color w:val="000000" w:themeColor="text1"/>
          <w:sz w:val="22"/>
          <w:szCs w:val="22"/>
        </w:rPr>
        <w:t xml:space="preserve"> to incentivize the rehabilitation and preservation of multifamily buildings;</w:t>
      </w:r>
      <w:r w:rsidR="009820BD" w:rsidRPr="00842A5E">
        <w:rPr>
          <w:rFonts w:ascii="Georgia" w:hAnsi="Georgia" w:cs="Georgia"/>
          <w:color w:val="000000" w:themeColor="text1"/>
          <w:sz w:val="22"/>
          <w:szCs w:val="22"/>
        </w:rPr>
        <w:t xml:space="preserve"> and</w:t>
      </w:r>
    </w:p>
    <w:p w14:paraId="49D61529" w14:textId="77777777" w:rsidR="00000E1C" w:rsidRPr="00842A5E" w:rsidRDefault="00000000" w:rsidP="006E3C1F">
      <w:pPr>
        <w:pStyle w:val="ListParagraph"/>
        <w:numPr>
          <w:ilvl w:val="1"/>
          <w:numId w:val="17"/>
        </w:numPr>
        <w:spacing w:after="240"/>
        <w:ind w:left="1080" w:right="-187"/>
        <w:jc w:val="both"/>
        <w:rPr>
          <w:rFonts w:ascii="Georgia" w:hAnsi="Georgia" w:cs="Georgia"/>
          <w:color w:val="000000" w:themeColor="text1"/>
          <w:sz w:val="22"/>
          <w:szCs w:val="22"/>
        </w:rPr>
      </w:pPr>
      <w:r w:rsidRPr="00842A5E">
        <w:rPr>
          <w:rFonts w:ascii="Georgia" w:hAnsi="Georgia" w:cs="Georgia"/>
          <w:color w:val="000000" w:themeColor="text1"/>
          <w:sz w:val="22"/>
          <w:szCs w:val="22"/>
        </w:rPr>
        <w:t>Encourage the adaptive reuse of underutilized commercial properties into multifamily housing.</w:t>
      </w:r>
    </w:p>
    <w:p w14:paraId="20D00083" w14:textId="77777777" w:rsidR="00842A5E" w:rsidRDefault="00842A5E" w:rsidP="00842A5E">
      <w:pPr>
        <w:pStyle w:val="ListParagraph"/>
        <w:spacing w:after="240"/>
        <w:ind w:left="245" w:right="-187"/>
        <w:jc w:val="both"/>
        <w:rPr>
          <w:rFonts w:ascii="Georgia" w:hAnsi="Georgia" w:cs="Georgia"/>
          <w:color w:val="000000" w:themeColor="text1"/>
          <w:sz w:val="22"/>
          <w:szCs w:val="22"/>
        </w:rPr>
      </w:pPr>
    </w:p>
    <w:p w14:paraId="7582D3A5" w14:textId="096FCB1E" w:rsidR="00252A65" w:rsidRDefault="00000000" w:rsidP="00252A65">
      <w:pPr>
        <w:pStyle w:val="ListParagraph"/>
        <w:numPr>
          <w:ilvl w:val="0"/>
          <w:numId w:val="17"/>
        </w:numPr>
        <w:spacing w:after="240"/>
        <w:ind w:left="245" w:right="-187"/>
        <w:jc w:val="both"/>
        <w:rPr>
          <w:rFonts w:ascii="Georgia" w:hAnsi="Georgia" w:cs="Georgia"/>
          <w:color w:val="000000" w:themeColor="text1"/>
          <w:sz w:val="22"/>
          <w:szCs w:val="22"/>
        </w:rPr>
      </w:pPr>
      <w:r>
        <w:rPr>
          <w:rFonts w:ascii="Georgia" w:hAnsi="Georgia" w:cs="Georgia"/>
          <w:color w:val="000000" w:themeColor="text1"/>
          <w:sz w:val="22"/>
          <w:szCs w:val="22"/>
        </w:rPr>
        <w:t>Avoid including revenue-raising provisions in potential 2025 tax legislation that would disrupt capital flows to the multifamily industry and make it more costly to develop and preserve housing units</w:t>
      </w:r>
      <w:r w:rsidRPr="00EB57C1">
        <w:rPr>
          <w:rFonts w:ascii="Georgia" w:hAnsi="Georgia" w:cs="Georgia"/>
          <w:color w:val="000000" w:themeColor="text1"/>
          <w:sz w:val="22"/>
          <w:szCs w:val="22"/>
        </w:rPr>
        <w:t xml:space="preserve">. </w:t>
      </w:r>
    </w:p>
    <w:p w14:paraId="6E08D10D" w14:textId="57F870FA" w:rsidR="00093D4C" w:rsidRDefault="00000000" w:rsidP="00093D4C">
      <w:pPr>
        <w:ind w:left="-475" w:right="-187"/>
        <w:jc w:val="both"/>
        <w:rPr>
          <w:rFonts w:ascii="Georgia" w:hAnsi="Georgia"/>
          <w:sz w:val="22"/>
          <w:szCs w:val="22"/>
        </w:rPr>
      </w:pPr>
      <w:r w:rsidRPr="00452E91">
        <w:rPr>
          <w:rFonts w:ascii="Georgia" w:hAnsi="Georgia"/>
          <w:sz w:val="22"/>
          <w:szCs w:val="22"/>
        </w:rPr>
        <w:t xml:space="preserve">Specifically, we urge Congress to reject proposals </w:t>
      </w:r>
      <w:r>
        <w:rPr>
          <w:rFonts w:ascii="Georgia" w:hAnsi="Georgia"/>
          <w:sz w:val="22"/>
          <w:szCs w:val="22"/>
        </w:rPr>
        <w:t>in President Biden’s Fiscal Year 2025 Budget that would limit capital flowing to the multifamily industry, including those that would</w:t>
      </w:r>
      <w:r w:rsidRPr="00452E91">
        <w:rPr>
          <w:rFonts w:ascii="Georgia" w:hAnsi="Georgia"/>
          <w:sz w:val="22"/>
          <w:szCs w:val="22"/>
        </w:rPr>
        <w:t>:</w:t>
      </w:r>
    </w:p>
    <w:p w14:paraId="6348D7C2" w14:textId="77777777" w:rsidR="00093D4C" w:rsidRPr="00452E91" w:rsidRDefault="00093D4C" w:rsidP="00093D4C">
      <w:pPr>
        <w:ind w:left="-475" w:right="-187"/>
        <w:jc w:val="both"/>
        <w:rPr>
          <w:rFonts w:ascii="Georgia" w:hAnsi="Georgia"/>
          <w:sz w:val="22"/>
          <w:szCs w:val="22"/>
        </w:rPr>
      </w:pPr>
    </w:p>
    <w:p w14:paraId="3F33E67E" w14:textId="31C22403" w:rsidR="00842A5E" w:rsidRDefault="00000000" w:rsidP="00056D95">
      <w:pPr>
        <w:pStyle w:val="ListParagraph"/>
        <w:numPr>
          <w:ilvl w:val="0"/>
          <w:numId w:val="29"/>
        </w:numPr>
        <w:spacing w:after="120"/>
        <w:ind w:left="245" w:right="-187"/>
        <w:contextualSpacing w:val="0"/>
        <w:jc w:val="both"/>
        <w:rPr>
          <w:rFonts w:ascii="Georgia" w:hAnsi="Georgia"/>
          <w:sz w:val="22"/>
          <w:szCs w:val="22"/>
        </w:rPr>
      </w:pPr>
      <w:r w:rsidRPr="00452E91">
        <w:rPr>
          <w:rFonts w:ascii="Georgia" w:hAnsi="Georgia"/>
          <w:sz w:val="22"/>
          <w:szCs w:val="22"/>
        </w:rPr>
        <w:t xml:space="preserve">Increase the top marginal </w:t>
      </w:r>
      <w:r>
        <w:rPr>
          <w:rFonts w:ascii="Georgia" w:hAnsi="Georgia"/>
          <w:sz w:val="22"/>
          <w:szCs w:val="22"/>
        </w:rPr>
        <w:t xml:space="preserve">individual </w:t>
      </w:r>
      <w:r w:rsidRPr="00452E91">
        <w:rPr>
          <w:rFonts w:ascii="Georgia" w:hAnsi="Georgia"/>
          <w:sz w:val="22"/>
          <w:szCs w:val="22"/>
        </w:rPr>
        <w:t xml:space="preserve">income and capital gains tax </w:t>
      </w:r>
      <w:proofErr w:type="gramStart"/>
      <w:r w:rsidRPr="00452E91">
        <w:rPr>
          <w:rFonts w:ascii="Georgia" w:hAnsi="Georgia"/>
          <w:sz w:val="22"/>
          <w:szCs w:val="22"/>
        </w:rPr>
        <w:t>rates</w:t>
      </w:r>
      <w:r w:rsidR="005C6C13">
        <w:rPr>
          <w:rFonts w:ascii="Georgia" w:hAnsi="Georgia"/>
          <w:sz w:val="22"/>
          <w:szCs w:val="22"/>
        </w:rPr>
        <w:t>;</w:t>
      </w:r>
      <w:proofErr w:type="gramEnd"/>
      <w:r w:rsidR="005C6C13">
        <w:rPr>
          <w:rFonts w:ascii="Georgia" w:hAnsi="Georgia"/>
          <w:sz w:val="22"/>
          <w:szCs w:val="22"/>
        </w:rPr>
        <w:t xml:space="preserve"> </w:t>
      </w:r>
    </w:p>
    <w:p w14:paraId="7C8A0703" w14:textId="727B3E0B" w:rsidR="00093D4C"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Pr>
          <w:rFonts w:ascii="Georgia" w:hAnsi="Georgia"/>
          <w:sz w:val="22"/>
          <w:szCs w:val="22"/>
        </w:rPr>
        <w:t xml:space="preserve">Impose the net investment income tax </w:t>
      </w:r>
      <w:r w:rsidR="00CC11FF">
        <w:rPr>
          <w:rFonts w:ascii="Georgia" w:hAnsi="Georgia"/>
          <w:sz w:val="22"/>
          <w:szCs w:val="22"/>
        </w:rPr>
        <w:t xml:space="preserve">(NIIT) </w:t>
      </w:r>
      <w:r>
        <w:rPr>
          <w:rFonts w:ascii="Georgia" w:hAnsi="Georgia"/>
          <w:sz w:val="22"/>
          <w:szCs w:val="22"/>
        </w:rPr>
        <w:t xml:space="preserve">on active income while increasing the </w:t>
      </w:r>
      <w:r w:rsidR="00CC11FF">
        <w:rPr>
          <w:rFonts w:ascii="Georgia" w:hAnsi="Georgia"/>
          <w:sz w:val="22"/>
          <w:szCs w:val="22"/>
        </w:rPr>
        <w:t xml:space="preserve">NIIT </w:t>
      </w:r>
      <w:proofErr w:type="gramStart"/>
      <w:r>
        <w:rPr>
          <w:rFonts w:ascii="Georgia" w:hAnsi="Georgia"/>
          <w:sz w:val="22"/>
          <w:szCs w:val="22"/>
        </w:rPr>
        <w:t>rate;</w:t>
      </w:r>
      <w:proofErr w:type="gramEnd"/>
    </w:p>
    <w:p w14:paraId="563C009D" w14:textId="7D08321D" w:rsidR="00093D4C"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sidRPr="00452E91">
        <w:rPr>
          <w:rFonts w:ascii="Georgia" w:hAnsi="Georgia"/>
          <w:sz w:val="22"/>
          <w:szCs w:val="22"/>
        </w:rPr>
        <w:t xml:space="preserve">Limit deferral of taxable gain from </w:t>
      </w:r>
      <w:proofErr w:type="gramStart"/>
      <w:r w:rsidRPr="00452E91">
        <w:rPr>
          <w:rFonts w:ascii="Georgia" w:hAnsi="Georgia"/>
          <w:sz w:val="22"/>
          <w:szCs w:val="22"/>
        </w:rPr>
        <w:t>like-kind</w:t>
      </w:r>
      <w:proofErr w:type="gramEnd"/>
      <w:r w:rsidRPr="00452E91">
        <w:rPr>
          <w:rFonts w:ascii="Georgia" w:hAnsi="Georgia"/>
          <w:sz w:val="22"/>
          <w:szCs w:val="22"/>
        </w:rPr>
        <w:t xml:space="preserve"> exchange</w:t>
      </w:r>
      <w:r w:rsidR="00842A5E">
        <w:rPr>
          <w:rFonts w:ascii="Georgia" w:hAnsi="Georgia"/>
          <w:sz w:val="22"/>
          <w:szCs w:val="22"/>
        </w:rPr>
        <w:t>s</w:t>
      </w:r>
      <w:r>
        <w:rPr>
          <w:rFonts w:ascii="Georgia" w:hAnsi="Georgia"/>
          <w:sz w:val="22"/>
          <w:szCs w:val="22"/>
        </w:rPr>
        <w:t>;</w:t>
      </w:r>
    </w:p>
    <w:p w14:paraId="56F0710F" w14:textId="77777777" w:rsidR="00093D4C"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sidRPr="00452E91">
        <w:rPr>
          <w:rFonts w:ascii="Georgia" w:hAnsi="Georgia"/>
          <w:sz w:val="22"/>
          <w:szCs w:val="22"/>
        </w:rPr>
        <w:t xml:space="preserve">Tax carried interest as ordinary </w:t>
      </w:r>
      <w:proofErr w:type="gramStart"/>
      <w:r w:rsidRPr="00452E91">
        <w:rPr>
          <w:rFonts w:ascii="Georgia" w:hAnsi="Georgia"/>
          <w:sz w:val="22"/>
          <w:szCs w:val="22"/>
        </w:rPr>
        <w:t>income;</w:t>
      </w:r>
      <w:proofErr w:type="gramEnd"/>
    </w:p>
    <w:p w14:paraId="612E271C" w14:textId="77777777" w:rsidR="00093D4C"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Pr>
          <w:rFonts w:ascii="Georgia" w:hAnsi="Georgia"/>
          <w:sz w:val="22"/>
          <w:szCs w:val="22"/>
        </w:rPr>
        <w:lastRenderedPageBreak/>
        <w:t>Tax unrealized capital gains at death; and</w:t>
      </w:r>
    </w:p>
    <w:p w14:paraId="429F5522" w14:textId="3E778822" w:rsidR="00093D4C" w:rsidRPr="00452E91" w:rsidRDefault="00000000" w:rsidP="00093D4C">
      <w:pPr>
        <w:pStyle w:val="ListParagraph"/>
        <w:numPr>
          <w:ilvl w:val="0"/>
          <w:numId w:val="29"/>
        </w:numPr>
        <w:spacing w:after="240"/>
        <w:ind w:left="245" w:right="-187"/>
        <w:jc w:val="both"/>
        <w:rPr>
          <w:rFonts w:ascii="Georgia" w:eastAsia="Georgia" w:hAnsi="Georgia" w:cs="Georgia"/>
          <w:sz w:val="22"/>
          <w:szCs w:val="22"/>
        </w:rPr>
      </w:pPr>
      <w:r w:rsidRPr="00452E91">
        <w:rPr>
          <w:rFonts w:ascii="Georgia" w:eastAsia="Georgia" w:hAnsi="Georgia" w:cs="Georgia"/>
          <w:sz w:val="22"/>
          <w:szCs w:val="22"/>
        </w:rPr>
        <w:t>Require 100</w:t>
      </w:r>
      <w:r w:rsidR="00842A5E">
        <w:rPr>
          <w:rFonts w:ascii="Georgia" w:eastAsia="Georgia" w:hAnsi="Georgia" w:cs="Georgia"/>
          <w:sz w:val="22"/>
          <w:szCs w:val="22"/>
        </w:rPr>
        <w:t>-</w:t>
      </w:r>
      <w:r w:rsidRPr="00452E91">
        <w:rPr>
          <w:rFonts w:ascii="Georgia" w:eastAsia="Georgia" w:hAnsi="Georgia" w:cs="Georgia"/>
          <w:sz w:val="22"/>
          <w:szCs w:val="22"/>
        </w:rPr>
        <w:t>percent recapture of depreciation deductions as ordinary income for real estate</w:t>
      </w:r>
      <w:r>
        <w:rPr>
          <w:rFonts w:ascii="Georgia" w:eastAsia="Georgia" w:hAnsi="Georgia" w:cs="Georgia"/>
          <w:sz w:val="22"/>
          <w:szCs w:val="22"/>
        </w:rPr>
        <w:t>.</w:t>
      </w:r>
    </w:p>
    <w:p w14:paraId="7591CBC5" w14:textId="73A2FDC6" w:rsidR="00093D4C" w:rsidRDefault="00000000" w:rsidP="00093D4C">
      <w:pPr>
        <w:ind w:left="-475" w:right="-187"/>
        <w:jc w:val="both"/>
        <w:rPr>
          <w:rFonts w:ascii="Georgia" w:hAnsi="Georgia"/>
          <w:sz w:val="22"/>
          <w:szCs w:val="22"/>
        </w:rPr>
      </w:pPr>
      <w:r w:rsidRPr="00452E91">
        <w:rPr>
          <w:rFonts w:ascii="Georgia" w:hAnsi="Georgia"/>
          <w:sz w:val="22"/>
          <w:szCs w:val="22"/>
        </w:rPr>
        <w:t xml:space="preserve">These proposals would directly </w:t>
      </w:r>
      <w:r>
        <w:rPr>
          <w:rFonts w:ascii="Georgia" w:hAnsi="Georgia"/>
          <w:sz w:val="22"/>
          <w:szCs w:val="22"/>
        </w:rPr>
        <w:t>affect</w:t>
      </w:r>
      <w:r w:rsidRPr="00452E91">
        <w:rPr>
          <w:rFonts w:ascii="Georgia" w:hAnsi="Georgia"/>
          <w:sz w:val="22"/>
          <w:szCs w:val="22"/>
        </w:rPr>
        <w:t xml:space="preserve"> the operations of housing providers</w:t>
      </w:r>
      <w:r>
        <w:rPr>
          <w:rFonts w:ascii="Georgia" w:hAnsi="Georgia"/>
          <w:sz w:val="22"/>
          <w:szCs w:val="22"/>
        </w:rPr>
        <w:t xml:space="preserve"> by</w:t>
      </w:r>
      <w:r w:rsidRPr="00452E91">
        <w:rPr>
          <w:rFonts w:ascii="Georgia" w:hAnsi="Georgia"/>
          <w:sz w:val="22"/>
          <w:szCs w:val="22"/>
        </w:rPr>
        <w:t xml:space="preserve"> </w:t>
      </w:r>
      <w:r>
        <w:rPr>
          <w:rFonts w:ascii="Georgia" w:hAnsi="Georgia"/>
          <w:sz w:val="22"/>
          <w:szCs w:val="22"/>
        </w:rPr>
        <w:t>reducing</w:t>
      </w:r>
      <w:r w:rsidRPr="00452E91">
        <w:rPr>
          <w:rFonts w:ascii="Georgia" w:hAnsi="Georgia"/>
          <w:sz w:val="22"/>
          <w:szCs w:val="22"/>
        </w:rPr>
        <w:t xml:space="preserve"> real</w:t>
      </w:r>
      <w:r w:rsidR="00BB61B3">
        <w:rPr>
          <w:rFonts w:ascii="Georgia" w:hAnsi="Georgia"/>
          <w:sz w:val="22"/>
          <w:szCs w:val="22"/>
        </w:rPr>
        <w:t>-</w:t>
      </w:r>
      <w:r w:rsidRPr="00452E91">
        <w:rPr>
          <w:rFonts w:ascii="Georgia" w:hAnsi="Georgia"/>
          <w:sz w:val="22"/>
          <w:szCs w:val="22"/>
        </w:rPr>
        <w:t>estate investment and inhibit</w:t>
      </w:r>
      <w:r>
        <w:rPr>
          <w:rFonts w:ascii="Georgia" w:hAnsi="Georgia"/>
          <w:sz w:val="22"/>
          <w:szCs w:val="22"/>
        </w:rPr>
        <w:t>ing</w:t>
      </w:r>
      <w:r w:rsidRPr="00452E91">
        <w:rPr>
          <w:rFonts w:ascii="Georgia" w:hAnsi="Georgia"/>
          <w:sz w:val="22"/>
          <w:szCs w:val="22"/>
        </w:rPr>
        <w:t xml:space="preserve"> the capital flows that are so critical to the development and preservation of critically needed housing.</w:t>
      </w:r>
    </w:p>
    <w:p w14:paraId="75433D46" w14:textId="77777777" w:rsidR="00093D4C" w:rsidRDefault="00093D4C" w:rsidP="00093D4C">
      <w:pPr>
        <w:ind w:left="-475" w:right="-187"/>
        <w:jc w:val="both"/>
        <w:rPr>
          <w:rFonts w:ascii="Georgia" w:hAnsi="Georgia"/>
          <w:sz w:val="22"/>
          <w:szCs w:val="22"/>
        </w:rPr>
      </w:pPr>
    </w:p>
    <w:p w14:paraId="57717F28" w14:textId="440641E1" w:rsidR="002D795D" w:rsidRPr="00252A65" w:rsidRDefault="00000000" w:rsidP="00252A65">
      <w:pPr>
        <w:spacing w:after="240"/>
        <w:ind w:left="-475" w:right="-187"/>
        <w:jc w:val="both"/>
        <w:rPr>
          <w:rFonts w:ascii="Georgia" w:hAnsi="Georgia" w:cs="Georgia"/>
          <w:color w:val="000000" w:themeColor="text1"/>
          <w:sz w:val="22"/>
          <w:szCs w:val="22"/>
        </w:rPr>
      </w:pPr>
      <w:r w:rsidRPr="00252A65">
        <w:rPr>
          <w:rFonts w:ascii="Georgia" w:hAnsi="Georgia"/>
          <w:sz w:val="22"/>
          <w:szCs w:val="22"/>
        </w:rPr>
        <w:t xml:space="preserve">Each of these proposals is briefly described below. </w:t>
      </w:r>
    </w:p>
    <w:p w14:paraId="38280231" w14:textId="77777777" w:rsidR="00325209" w:rsidRPr="00EB57C1" w:rsidRDefault="00325209" w:rsidP="00E83B70">
      <w:pPr>
        <w:pStyle w:val="NormalWeb"/>
        <w:spacing w:before="0" w:beforeAutospacing="0" w:after="0" w:afterAutospacing="0"/>
        <w:ind w:left="-475" w:right="-187"/>
        <w:jc w:val="both"/>
        <w:rPr>
          <w:rFonts w:ascii="Georgia" w:hAnsi="Georgia"/>
          <w:sz w:val="22"/>
          <w:szCs w:val="22"/>
        </w:rPr>
      </w:pPr>
    </w:p>
    <w:p w14:paraId="7AC4DEE7" w14:textId="1D94FAA8" w:rsidR="00325209" w:rsidRPr="00EB57C1" w:rsidRDefault="00000000" w:rsidP="00E83B70">
      <w:pPr>
        <w:pStyle w:val="NormalWeb"/>
        <w:spacing w:before="0" w:beforeAutospacing="0" w:after="0" w:afterAutospacing="0"/>
        <w:ind w:left="-475" w:right="-187"/>
        <w:jc w:val="both"/>
        <w:rPr>
          <w:rFonts w:ascii="Georgia" w:hAnsi="Georgia"/>
          <w:b/>
          <w:bCs/>
          <w:sz w:val="22"/>
          <w:szCs w:val="22"/>
        </w:rPr>
      </w:pPr>
      <w:r w:rsidRPr="00EB57C1">
        <w:rPr>
          <w:rFonts w:ascii="Georgia" w:hAnsi="Georgia"/>
          <w:b/>
          <w:bCs/>
          <w:sz w:val="22"/>
          <w:szCs w:val="22"/>
        </w:rPr>
        <w:t xml:space="preserve">EXPIRING </w:t>
      </w:r>
      <w:r w:rsidRPr="00EB57C1">
        <w:rPr>
          <w:rFonts w:ascii="Georgia" w:hAnsi="Georgia"/>
          <w:b/>
          <w:bCs/>
          <w:i/>
          <w:iCs/>
          <w:sz w:val="22"/>
          <w:szCs w:val="22"/>
        </w:rPr>
        <w:t>TCJA</w:t>
      </w:r>
      <w:r w:rsidRPr="00EB57C1">
        <w:rPr>
          <w:rFonts w:ascii="Georgia" w:hAnsi="Georgia"/>
          <w:b/>
          <w:bCs/>
          <w:sz w:val="22"/>
          <w:szCs w:val="22"/>
        </w:rPr>
        <w:t xml:space="preserve"> PROVISIONS</w:t>
      </w:r>
    </w:p>
    <w:p w14:paraId="42D1D30B" w14:textId="77777777" w:rsidR="00A34C34" w:rsidRDefault="00A34C34" w:rsidP="00253D91">
      <w:pPr>
        <w:pStyle w:val="NormalWeb"/>
        <w:spacing w:before="0" w:beforeAutospacing="0" w:after="0" w:afterAutospacing="0"/>
        <w:ind w:left="-475" w:right="-187"/>
        <w:jc w:val="both"/>
        <w:rPr>
          <w:rFonts w:ascii="Georgia" w:hAnsi="Georgia"/>
          <w:b/>
          <w:bCs/>
          <w:i/>
          <w:iCs/>
          <w:sz w:val="22"/>
          <w:szCs w:val="22"/>
        </w:rPr>
      </w:pPr>
    </w:p>
    <w:p w14:paraId="6CE53896" w14:textId="69316D98" w:rsidR="00253D91" w:rsidRPr="00EB57C1" w:rsidRDefault="00000000" w:rsidP="00253D91">
      <w:pPr>
        <w:pStyle w:val="NormalWeb"/>
        <w:spacing w:before="0" w:beforeAutospacing="0" w:after="0" w:afterAutospacing="0"/>
        <w:ind w:left="-475" w:right="-187"/>
        <w:jc w:val="both"/>
        <w:rPr>
          <w:rFonts w:ascii="Georgia" w:hAnsi="Georgia"/>
          <w:b/>
          <w:bCs/>
          <w:i/>
          <w:iCs/>
          <w:sz w:val="22"/>
          <w:szCs w:val="22"/>
        </w:rPr>
      </w:pPr>
      <w:r w:rsidRPr="00EB57C1">
        <w:rPr>
          <w:rFonts w:ascii="Georgia" w:hAnsi="Georgia"/>
          <w:b/>
          <w:bCs/>
          <w:i/>
          <w:iCs/>
          <w:sz w:val="22"/>
          <w:szCs w:val="22"/>
        </w:rPr>
        <w:t>Make Permanent TCJA Tax Rates and the 20</w:t>
      </w:r>
      <w:r w:rsidR="00842A5E">
        <w:rPr>
          <w:rFonts w:ascii="Georgia" w:hAnsi="Georgia"/>
          <w:b/>
          <w:bCs/>
          <w:i/>
          <w:iCs/>
          <w:sz w:val="22"/>
          <w:szCs w:val="22"/>
        </w:rPr>
        <w:t>-</w:t>
      </w:r>
      <w:r w:rsidRPr="00EB57C1">
        <w:rPr>
          <w:rFonts w:ascii="Georgia" w:hAnsi="Georgia"/>
          <w:b/>
          <w:bCs/>
          <w:i/>
          <w:iCs/>
          <w:sz w:val="22"/>
          <w:szCs w:val="22"/>
        </w:rPr>
        <w:t>Percent Qualified Business Income Deduction</w:t>
      </w:r>
    </w:p>
    <w:p w14:paraId="30B8D265" w14:textId="77777777" w:rsidR="00253D91" w:rsidRPr="00EB57C1" w:rsidRDefault="00253D91" w:rsidP="00253D91">
      <w:pPr>
        <w:pStyle w:val="NormalWeb"/>
        <w:spacing w:before="0" w:beforeAutospacing="0" w:after="0" w:afterAutospacing="0"/>
        <w:ind w:left="-475" w:right="-187"/>
        <w:jc w:val="both"/>
        <w:rPr>
          <w:rFonts w:ascii="Georgia" w:hAnsi="Georgia"/>
          <w:b/>
          <w:bCs/>
          <w:i/>
          <w:iCs/>
          <w:sz w:val="22"/>
          <w:szCs w:val="22"/>
        </w:rPr>
      </w:pPr>
    </w:p>
    <w:p w14:paraId="3D6C48EE" w14:textId="43DA8FB3" w:rsidR="00253D91" w:rsidRPr="00EB57C1" w:rsidRDefault="00000000" w:rsidP="00C940E3">
      <w:pPr>
        <w:pStyle w:val="NormalWeb"/>
        <w:spacing w:before="0" w:beforeAutospacing="0" w:after="0" w:afterAutospacing="0" w:line="240" w:lineRule="exact"/>
        <w:ind w:left="-475" w:right="-187"/>
        <w:jc w:val="both"/>
        <w:rPr>
          <w:rFonts w:ascii="Georgia" w:eastAsia="Times New Roman" w:hAnsi="Georgia"/>
          <w:sz w:val="22"/>
          <w:szCs w:val="22"/>
        </w:rPr>
      </w:pPr>
      <w:r w:rsidRPr="00253D91">
        <w:rPr>
          <w:rFonts w:ascii="Georgia" w:eastAsia="Times New Roman" w:hAnsi="Georgia"/>
          <w:sz w:val="22"/>
          <w:szCs w:val="22"/>
        </w:rPr>
        <w:t xml:space="preserve">The multifamily industry is dominated by “pass-through” entities (e.g., sole proprietorships, LLCs, </w:t>
      </w:r>
      <w:proofErr w:type="gramStart"/>
      <w:r w:rsidRPr="00253D91">
        <w:rPr>
          <w:rFonts w:ascii="Georgia" w:eastAsia="Times New Roman" w:hAnsi="Georgia"/>
          <w:sz w:val="22"/>
          <w:szCs w:val="22"/>
        </w:rPr>
        <w:t>partnerships</w:t>
      </w:r>
      <w:proofErr w:type="gramEnd"/>
      <w:r w:rsidRPr="00253D91">
        <w:rPr>
          <w:rFonts w:ascii="Georgia" w:eastAsia="Times New Roman" w:hAnsi="Georgia"/>
          <w:sz w:val="22"/>
          <w:szCs w:val="22"/>
        </w:rPr>
        <w:t xml:space="preserve"> and S corporations)</w:t>
      </w:r>
      <w:r w:rsidR="00842A5E">
        <w:rPr>
          <w:rFonts w:ascii="Georgia" w:eastAsia="Times New Roman" w:hAnsi="Georgia"/>
          <w:sz w:val="22"/>
          <w:szCs w:val="22"/>
        </w:rPr>
        <w:t xml:space="preserve">, rather than </w:t>
      </w:r>
      <w:r w:rsidRPr="00253D91">
        <w:rPr>
          <w:rFonts w:ascii="Georgia" w:eastAsia="Times New Roman" w:hAnsi="Georgia"/>
          <w:sz w:val="22"/>
          <w:szCs w:val="22"/>
        </w:rPr>
        <w:t xml:space="preserve">publicly held corporations (e.g., C corporations). Indeed, approximately three-quarters of apartment units are owned </w:t>
      </w:r>
      <w:proofErr w:type="gramStart"/>
      <w:r w:rsidRPr="00253D91">
        <w:rPr>
          <w:rFonts w:ascii="Georgia" w:eastAsia="Times New Roman" w:hAnsi="Georgia"/>
          <w:sz w:val="22"/>
          <w:szCs w:val="22"/>
        </w:rPr>
        <w:t>by pass</w:t>
      </w:r>
      <w:proofErr w:type="gramEnd"/>
      <w:r w:rsidRPr="00253D91">
        <w:rPr>
          <w:rFonts w:ascii="Georgia" w:eastAsia="Times New Roman" w:hAnsi="Georgia"/>
          <w:sz w:val="22"/>
          <w:szCs w:val="22"/>
        </w:rPr>
        <w:t>-through entities. This means that a company’s taxable income is passed through to the equity owners, who pay taxes on their share of the income on their individual tax returns</w:t>
      </w:r>
      <w:r w:rsidR="00034B7F">
        <w:rPr>
          <w:rFonts w:ascii="Georgia" w:eastAsia="Times New Roman" w:hAnsi="Georgia"/>
          <w:sz w:val="22"/>
          <w:szCs w:val="22"/>
        </w:rPr>
        <w:t xml:space="preserve">, regardless of whether the owner receives any cash distribution of the </w:t>
      </w:r>
      <w:proofErr w:type="gramStart"/>
      <w:r w:rsidR="00034B7F">
        <w:rPr>
          <w:rFonts w:ascii="Georgia" w:eastAsia="Times New Roman" w:hAnsi="Georgia"/>
          <w:sz w:val="22"/>
          <w:szCs w:val="22"/>
        </w:rPr>
        <w:t>income</w:t>
      </w:r>
      <w:proofErr w:type="gramEnd"/>
      <w:r w:rsidR="00034B7F">
        <w:rPr>
          <w:rFonts w:ascii="Georgia" w:eastAsia="Times New Roman" w:hAnsi="Georgia"/>
          <w:sz w:val="22"/>
          <w:szCs w:val="22"/>
        </w:rPr>
        <w:t xml:space="preserve"> or it is reinvested in the business</w:t>
      </w:r>
      <w:r w:rsidRPr="00253D91">
        <w:rPr>
          <w:rFonts w:ascii="Georgia" w:eastAsia="Times New Roman" w:hAnsi="Georgia"/>
          <w:sz w:val="22"/>
          <w:szCs w:val="22"/>
        </w:rPr>
        <w:t>. Additionally, a significant number of industry participants are organized as REITs that generally pay no tax at the entity level and pass</w:t>
      </w:r>
      <w:r w:rsidR="00842A5E">
        <w:rPr>
          <w:rFonts w:ascii="Georgia" w:eastAsia="Times New Roman" w:hAnsi="Georgia"/>
          <w:sz w:val="22"/>
          <w:szCs w:val="22"/>
        </w:rPr>
        <w:t xml:space="preserve"> </w:t>
      </w:r>
      <w:r w:rsidRPr="00253D91">
        <w:rPr>
          <w:rFonts w:ascii="Georgia" w:eastAsia="Times New Roman" w:hAnsi="Georgia"/>
          <w:sz w:val="22"/>
          <w:szCs w:val="22"/>
        </w:rPr>
        <w:t xml:space="preserve">through dividends to </w:t>
      </w:r>
      <w:r w:rsidR="00842A5E">
        <w:rPr>
          <w:rFonts w:ascii="Georgia" w:eastAsia="Times New Roman" w:hAnsi="Georgia"/>
          <w:sz w:val="22"/>
          <w:szCs w:val="22"/>
        </w:rPr>
        <w:t xml:space="preserve">the REIT </w:t>
      </w:r>
      <w:r w:rsidRPr="00253D91">
        <w:rPr>
          <w:rFonts w:ascii="Georgia" w:eastAsia="Times New Roman" w:hAnsi="Georgia"/>
          <w:sz w:val="22"/>
          <w:szCs w:val="22"/>
        </w:rPr>
        <w:t>shareholders.</w:t>
      </w:r>
    </w:p>
    <w:p w14:paraId="7E369CF0" w14:textId="77777777" w:rsidR="00253D91" w:rsidRPr="00EB57C1" w:rsidRDefault="00253D91" w:rsidP="002C7458">
      <w:pPr>
        <w:pStyle w:val="NormalWeb"/>
        <w:spacing w:before="0" w:beforeAutospacing="0" w:after="0" w:afterAutospacing="0" w:line="240" w:lineRule="exact"/>
        <w:ind w:left="-475" w:right="-187"/>
        <w:jc w:val="both"/>
        <w:rPr>
          <w:rFonts w:ascii="Georgia" w:eastAsia="Times New Roman" w:hAnsi="Georgia"/>
          <w:sz w:val="22"/>
          <w:szCs w:val="22"/>
        </w:rPr>
      </w:pPr>
    </w:p>
    <w:p w14:paraId="102F9229" w14:textId="118FAAF8" w:rsidR="00253D91" w:rsidRPr="00EB57C1" w:rsidRDefault="00000000" w:rsidP="002C7458">
      <w:pPr>
        <w:pStyle w:val="NormalWeb"/>
        <w:spacing w:before="0" w:beforeAutospacing="0" w:after="0" w:afterAutospacing="0" w:line="240" w:lineRule="exact"/>
        <w:ind w:left="-475" w:right="-187"/>
        <w:jc w:val="both"/>
        <w:rPr>
          <w:rFonts w:ascii="Georgia" w:eastAsia="Times New Roman" w:hAnsi="Georgia"/>
          <w:sz w:val="22"/>
          <w:szCs w:val="22"/>
        </w:rPr>
      </w:pPr>
      <w:r w:rsidRPr="00253D91">
        <w:rPr>
          <w:rFonts w:ascii="Georgia" w:eastAsia="Times New Roman" w:hAnsi="Georgia"/>
          <w:sz w:val="22"/>
          <w:szCs w:val="22"/>
        </w:rPr>
        <w:t>The tax treatment of pass-through entities contrasts with the taxation of large publicly held corporations, so</w:t>
      </w:r>
      <w:r w:rsidR="00842A5E">
        <w:rPr>
          <w:rFonts w:ascii="Georgia" w:eastAsia="Times New Roman" w:hAnsi="Georgia"/>
          <w:sz w:val="22"/>
          <w:szCs w:val="22"/>
        </w:rPr>
        <w:t>-</w:t>
      </w:r>
      <w:r w:rsidRPr="00253D91">
        <w:rPr>
          <w:rFonts w:ascii="Georgia" w:eastAsia="Times New Roman" w:hAnsi="Georgia"/>
          <w:sz w:val="22"/>
          <w:szCs w:val="22"/>
        </w:rPr>
        <w:t>called C corporations, which generally face two levels of tax. Th</w:t>
      </w:r>
      <w:r w:rsidR="00842A5E">
        <w:rPr>
          <w:rFonts w:ascii="Georgia" w:eastAsia="Times New Roman" w:hAnsi="Georgia"/>
          <w:sz w:val="22"/>
          <w:szCs w:val="22"/>
        </w:rPr>
        <w:t>e</w:t>
      </w:r>
      <w:r w:rsidRPr="00253D91">
        <w:rPr>
          <w:rFonts w:ascii="Georgia" w:eastAsia="Times New Roman" w:hAnsi="Georgia"/>
          <w:sz w:val="22"/>
          <w:szCs w:val="22"/>
        </w:rPr>
        <w:t xml:space="preserve">se entities </w:t>
      </w:r>
      <w:r w:rsidR="00842A5E">
        <w:rPr>
          <w:rFonts w:ascii="Georgia" w:eastAsia="Times New Roman" w:hAnsi="Georgia"/>
          <w:sz w:val="22"/>
          <w:szCs w:val="22"/>
        </w:rPr>
        <w:t xml:space="preserve">are subject to </w:t>
      </w:r>
      <w:r w:rsidRPr="00253D91">
        <w:rPr>
          <w:rFonts w:ascii="Georgia" w:eastAsia="Times New Roman" w:hAnsi="Georgia"/>
          <w:sz w:val="22"/>
          <w:szCs w:val="22"/>
        </w:rPr>
        <w:t xml:space="preserve">tax at the corporate level under the corporate tax system. Taxable shareholders are then taxed upon the receipt of dividend income. Notably, some shareholders of corporate stock, including </w:t>
      </w:r>
      <w:r w:rsidR="00033F7F">
        <w:rPr>
          <w:rFonts w:ascii="Georgia" w:eastAsia="Times New Roman" w:hAnsi="Georgia"/>
          <w:sz w:val="22"/>
          <w:szCs w:val="22"/>
        </w:rPr>
        <w:t xml:space="preserve">certain </w:t>
      </w:r>
      <w:r w:rsidRPr="00253D91">
        <w:rPr>
          <w:rFonts w:ascii="Georgia" w:eastAsia="Times New Roman" w:hAnsi="Georgia"/>
          <w:sz w:val="22"/>
          <w:szCs w:val="22"/>
        </w:rPr>
        <w:t>retirement accounts</w:t>
      </w:r>
      <w:r w:rsidR="00033F7F">
        <w:rPr>
          <w:rFonts w:ascii="Georgia" w:eastAsia="Times New Roman" w:hAnsi="Georgia"/>
          <w:sz w:val="22"/>
          <w:szCs w:val="22"/>
        </w:rPr>
        <w:t xml:space="preserve"> and </w:t>
      </w:r>
      <w:r w:rsidRPr="00253D91">
        <w:rPr>
          <w:rFonts w:ascii="Georgia" w:eastAsia="Times New Roman" w:hAnsi="Georgia"/>
          <w:sz w:val="22"/>
          <w:szCs w:val="22"/>
        </w:rPr>
        <w:t>non-profit organizations, are exempt from taxes on those dividends</w:t>
      </w:r>
      <w:r w:rsidR="00033F7F">
        <w:rPr>
          <w:rFonts w:ascii="Georgia" w:eastAsia="Times New Roman" w:hAnsi="Georgia"/>
          <w:sz w:val="22"/>
          <w:szCs w:val="22"/>
        </w:rPr>
        <w:t>.</w:t>
      </w:r>
      <w:r>
        <w:rPr>
          <w:rStyle w:val="FootnoteReference"/>
          <w:rFonts w:ascii="Georgia" w:eastAsia="Times New Roman" w:hAnsi="Georgia"/>
          <w:sz w:val="22"/>
          <w:szCs w:val="22"/>
        </w:rPr>
        <w:footnoteReference w:id="6"/>
      </w:r>
    </w:p>
    <w:p w14:paraId="0C06E2D3" w14:textId="77777777" w:rsidR="00253D91" w:rsidRPr="00EB57C1" w:rsidRDefault="00253D91" w:rsidP="002C7458">
      <w:pPr>
        <w:pStyle w:val="NormalWeb"/>
        <w:spacing w:before="0" w:beforeAutospacing="0" w:after="0" w:afterAutospacing="0" w:line="240" w:lineRule="exact"/>
        <w:ind w:left="-475" w:right="-187"/>
        <w:jc w:val="both"/>
        <w:rPr>
          <w:rFonts w:ascii="Georgia" w:eastAsia="Times New Roman" w:hAnsi="Georgia"/>
          <w:sz w:val="22"/>
          <w:szCs w:val="22"/>
        </w:rPr>
      </w:pPr>
    </w:p>
    <w:p w14:paraId="7F386767" w14:textId="77777777" w:rsidR="00253D91" w:rsidRPr="00253D91" w:rsidRDefault="00000000" w:rsidP="002C7458">
      <w:pPr>
        <w:pStyle w:val="NormalWeb"/>
        <w:spacing w:before="0" w:beforeAutospacing="0" w:after="0" w:afterAutospacing="0" w:line="240" w:lineRule="exact"/>
        <w:ind w:left="-475" w:right="-187"/>
        <w:jc w:val="both"/>
        <w:rPr>
          <w:rFonts w:ascii="Georgia" w:hAnsi="Georgia"/>
          <w:b/>
          <w:bCs/>
          <w:i/>
          <w:iCs/>
          <w:sz w:val="22"/>
          <w:szCs w:val="22"/>
        </w:rPr>
      </w:pPr>
      <w:r w:rsidRPr="00253D91">
        <w:rPr>
          <w:rFonts w:ascii="Georgia" w:eastAsia="Times New Roman" w:hAnsi="Georgia"/>
          <w:sz w:val="22"/>
          <w:szCs w:val="22"/>
        </w:rPr>
        <w:t xml:space="preserve">In 2017, as part of </w:t>
      </w:r>
      <w:r w:rsidRPr="00EB57C1">
        <w:rPr>
          <w:rFonts w:ascii="Georgia" w:eastAsia="Times New Roman" w:hAnsi="Georgia"/>
          <w:i/>
          <w:iCs/>
          <w:sz w:val="22"/>
          <w:szCs w:val="22"/>
        </w:rPr>
        <w:t>TCJA</w:t>
      </w:r>
      <w:r w:rsidRPr="00EB57C1">
        <w:rPr>
          <w:rFonts w:ascii="Georgia" w:eastAsia="Times New Roman" w:hAnsi="Georgia"/>
          <w:sz w:val="22"/>
          <w:szCs w:val="22"/>
        </w:rPr>
        <w:t>,</w:t>
      </w:r>
      <w:r w:rsidRPr="00253D91">
        <w:rPr>
          <w:rFonts w:ascii="Georgia" w:eastAsia="Times New Roman" w:hAnsi="Georgia"/>
          <w:sz w:val="22"/>
          <w:szCs w:val="22"/>
        </w:rPr>
        <w:t xml:space="preserve"> Congress lowered taxes on pass-through entities and REITs through 2025 by:</w:t>
      </w:r>
    </w:p>
    <w:p w14:paraId="31E3E7CF" w14:textId="33AD2035" w:rsidR="00253D91" w:rsidRPr="00EB57C1" w:rsidRDefault="00000000" w:rsidP="00056D95">
      <w:pPr>
        <w:numPr>
          <w:ilvl w:val="0"/>
          <w:numId w:val="26"/>
        </w:numPr>
        <w:spacing w:before="100" w:beforeAutospacing="1" w:after="120" w:line="240" w:lineRule="exact"/>
        <w:ind w:left="245" w:right="-187"/>
        <w:jc w:val="both"/>
        <w:rPr>
          <w:rFonts w:ascii="Georgia" w:eastAsia="Times New Roman" w:hAnsi="Georgia"/>
          <w:sz w:val="22"/>
          <w:szCs w:val="22"/>
        </w:rPr>
      </w:pPr>
      <w:r w:rsidRPr="00253D91">
        <w:rPr>
          <w:rFonts w:ascii="Georgia" w:eastAsia="Times New Roman" w:hAnsi="Georgia"/>
          <w:sz w:val="22"/>
          <w:szCs w:val="22"/>
        </w:rPr>
        <w:t xml:space="preserve">Reducing marginal </w:t>
      </w:r>
      <w:r w:rsidR="00413E4F">
        <w:rPr>
          <w:rFonts w:ascii="Georgia" w:eastAsia="Times New Roman" w:hAnsi="Georgia"/>
          <w:sz w:val="22"/>
          <w:szCs w:val="22"/>
        </w:rPr>
        <w:t xml:space="preserve">individual </w:t>
      </w:r>
      <w:r w:rsidRPr="00253D91">
        <w:rPr>
          <w:rFonts w:ascii="Georgia" w:eastAsia="Times New Roman" w:hAnsi="Georgia"/>
          <w:sz w:val="22"/>
          <w:szCs w:val="22"/>
        </w:rPr>
        <w:t>tax rates, including the top tax rate to 37 percent from 39.6 percent; and</w:t>
      </w:r>
    </w:p>
    <w:p w14:paraId="0F40C0C0" w14:textId="58A3FF0D" w:rsidR="00253D91" w:rsidRPr="00EB57C1" w:rsidRDefault="00000000" w:rsidP="002C7458">
      <w:pPr>
        <w:numPr>
          <w:ilvl w:val="0"/>
          <w:numId w:val="26"/>
        </w:numPr>
        <w:spacing w:before="100" w:beforeAutospacing="1" w:after="100" w:afterAutospacing="1" w:line="240" w:lineRule="exact"/>
        <w:ind w:left="245" w:right="-187"/>
        <w:jc w:val="both"/>
        <w:rPr>
          <w:rFonts w:ascii="Georgia" w:eastAsia="Times New Roman" w:hAnsi="Georgia"/>
          <w:sz w:val="22"/>
          <w:szCs w:val="22"/>
        </w:rPr>
      </w:pPr>
      <w:r w:rsidRPr="00253D91">
        <w:rPr>
          <w:rFonts w:ascii="Georgia" w:eastAsia="Times New Roman" w:hAnsi="Georgia"/>
          <w:sz w:val="22"/>
          <w:szCs w:val="22"/>
        </w:rPr>
        <w:t>Providing a 20</w:t>
      </w:r>
      <w:r w:rsidR="00413E4F">
        <w:rPr>
          <w:rFonts w:ascii="Georgia" w:eastAsia="Times New Roman" w:hAnsi="Georgia"/>
          <w:sz w:val="22"/>
          <w:szCs w:val="22"/>
        </w:rPr>
        <w:t>-</w:t>
      </w:r>
      <w:r w:rsidRPr="00253D91">
        <w:rPr>
          <w:rFonts w:ascii="Georgia" w:eastAsia="Times New Roman" w:hAnsi="Georgia"/>
          <w:sz w:val="22"/>
          <w:szCs w:val="22"/>
        </w:rPr>
        <w:t>percent tax deduction for qualifying pass-through income and REIT dividends</w:t>
      </w:r>
      <w:r w:rsidR="00413E4F">
        <w:rPr>
          <w:rFonts w:ascii="Georgia" w:eastAsia="Times New Roman" w:hAnsi="Georgia"/>
          <w:sz w:val="22"/>
          <w:szCs w:val="22"/>
        </w:rPr>
        <w:t xml:space="preserve"> (commonly referred to as </w:t>
      </w:r>
      <w:r w:rsidR="001A7F43">
        <w:rPr>
          <w:rFonts w:ascii="Georgia" w:eastAsia="Times New Roman" w:hAnsi="Georgia"/>
          <w:sz w:val="22"/>
          <w:szCs w:val="22"/>
        </w:rPr>
        <w:t>S</w:t>
      </w:r>
      <w:r w:rsidR="00413E4F">
        <w:rPr>
          <w:rFonts w:ascii="Georgia" w:eastAsia="Times New Roman" w:hAnsi="Georgia"/>
          <w:sz w:val="22"/>
          <w:szCs w:val="22"/>
        </w:rPr>
        <w:t>ection 199A)</w:t>
      </w:r>
      <w:r w:rsidRPr="00253D91">
        <w:rPr>
          <w:rFonts w:ascii="Georgia" w:eastAsia="Times New Roman" w:hAnsi="Georgia"/>
          <w:sz w:val="22"/>
          <w:szCs w:val="22"/>
        </w:rPr>
        <w:t>, effectively reducing the top tax rate on qualifying business income to 29.6 percent.</w:t>
      </w:r>
    </w:p>
    <w:p w14:paraId="422F4357" w14:textId="7E6F4C18" w:rsidR="00253D91" w:rsidRPr="00253D91" w:rsidRDefault="00000000" w:rsidP="002C7458">
      <w:pPr>
        <w:spacing w:before="100" w:beforeAutospacing="1" w:after="100" w:afterAutospacing="1" w:line="240" w:lineRule="exact"/>
        <w:ind w:left="-475" w:right="-187"/>
        <w:jc w:val="both"/>
        <w:rPr>
          <w:rFonts w:ascii="Georgia" w:eastAsia="Times New Roman" w:hAnsi="Georgia"/>
          <w:sz w:val="22"/>
          <w:szCs w:val="22"/>
        </w:rPr>
      </w:pPr>
      <w:r w:rsidRPr="00253D91">
        <w:rPr>
          <w:rFonts w:ascii="Georgia" w:eastAsia="Times New Roman" w:hAnsi="Georgia"/>
          <w:sz w:val="22"/>
          <w:szCs w:val="22"/>
        </w:rPr>
        <w:t xml:space="preserve">Unfortunately, absent Congressional action, pass-through entities will see a substantial tax increase at the end of 2025 when the tax provisions benefiting pass-through entities expire. Instead of facing a top rate of 29.6 percent on qualifying business income, such entities will be </w:t>
      </w:r>
      <w:r w:rsidRPr="00253D91">
        <w:rPr>
          <w:rFonts w:ascii="Georgia" w:eastAsia="Times New Roman" w:hAnsi="Georgia"/>
          <w:sz w:val="22"/>
          <w:szCs w:val="22"/>
        </w:rPr>
        <w:lastRenderedPageBreak/>
        <w:t>confronted by a 39.6</w:t>
      </w:r>
      <w:r w:rsidR="00413E4F">
        <w:rPr>
          <w:rFonts w:ascii="Georgia" w:eastAsia="Times New Roman" w:hAnsi="Georgia"/>
          <w:sz w:val="22"/>
          <w:szCs w:val="22"/>
        </w:rPr>
        <w:t>-</w:t>
      </w:r>
      <w:r w:rsidRPr="00253D91">
        <w:rPr>
          <w:rFonts w:ascii="Georgia" w:eastAsia="Times New Roman" w:hAnsi="Georgia"/>
          <w:sz w:val="22"/>
          <w:szCs w:val="22"/>
        </w:rPr>
        <w:t>percent rate, a 33.8</w:t>
      </w:r>
      <w:r w:rsidR="00413E4F">
        <w:rPr>
          <w:rFonts w:ascii="Georgia" w:eastAsia="Times New Roman" w:hAnsi="Georgia"/>
          <w:sz w:val="22"/>
          <w:szCs w:val="22"/>
        </w:rPr>
        <w:t>-</w:t>
      </w:r>
      <w:r w:rsidRPr="00253D91">
        <w:rPr>
          <w:rFonts w:ascii="Georgia" w:eastAsia="Times New Roman" w:hAnsi="Georgia"/>
          <w:sz w:val="22"/>
          <w:szCs w:val="22"/>
        </w:rPr>
        <w:t>percent increase. In contrast, the corporate tax rate will remain at 21 percent.</w:t>
      </w:r>
    </w:p>
    <w:p w14:paraId="2A374649" w14:textId="0AF6D464" w:rsidR="002C7458" w:rsidRPr="00EB57C1" w:rsidRDefault="00000000" w:rsidP="002C7458">
      <w:pPr>
        <w:spacing w:before="100" w:beforeAutospacing="1" w:after="100" w:afterAutospacing="1" w:line="240" w:lineRule="exact"/>
        <w:ind w:left="-475" w:right="-187"/>
        <w:jc w:val="both"/>
        <w:rPr>
          <w:rFonts w:ascii="Georgia" w:eastAsia="Times New Roman" w:hAnsi="Georgia"/>
          <w:sz w:val="22"/>
          <w:szCs w:val="22"/>
        </w:rPr>
      </w:pPr>
      <w:r w:rsidRPr="00253D91">
        <w:rPr>
          <w:rFonts w:ascii="Georgia" w:eastAsia="Times New Roman" w:hAnsi="Georgia"/>
          <w:sz w:val="22"/>
          <w:szCs w:val="22"/>
        </w:rPr>
        <w:t xml:space="preserve">Congress should continue to promote the use of flow-through entities and investment in multifamily housing by making permanent the </w:t>
      </w:r>
      <w:r w:rsidR="00413E4F">
        <w:rPr>
          <w:rFonts w:ascii="Georgia" w:eastAsia="Times New Roman" w:hAnsi="Georgia"/>
          <w:sz w:val="22"/>
          <w:szCs w:val="22"/>
        </w:rPr>
        <w:t xml:space="preserve">individual </w:t>
      </w:r>
      <w:r w:rsidRPr="00253D91">
        <w:rPr>
          <w:rFonts w:ascii="Georgia" w:eastAsia="Times New Roman" w:hAnsi="Georgia"/>
          <w:sz w:val="22"/>
          <w:szCs w:val="22"/>
        </w:rPr>
        <w:t>tax rate reductions and the 20</w:t>
      </w:r>
      <w:r w:rsidR="00413E4F">
        <w:rPr>
          <w:rFonts w:ascii="Georgia" w:eastAsia="Times New Roman" w:hAnsi="Georgia"/>
          <w:sz w:val="22"/>
          <w:szCs w:val="22"/>
        </w:rPr>
        <w:t>-</w:t>
      </w:r>
      <w:r w:rsidRPr="00253D91">
        <w:rPr>
          <w:rFonts w:ascii="Georgia" w:eastAsia="Times New Roman" w:hAnsi="Georgia"/>
          <w:sz w:val="22"/>
          <w:szCs w:val="22"/>
        </w:rPr>
        <w:t xml:space="preserve">percent </w:t>
      </w:r>
      <w:r w:rsidR="00E759E6">
        <w:rPr>
          <w:rFonts w:ascii="Georgia" w:eastAsia="Times New Roman" w:hAnsi="Georgia"/>
          <w:sz w:val="22"/>
          <w:szCs w:val="22"/>
        </w:rPr>
        <w:t>S</w:t>
      </w:r>
      <w:r w:rsidR="00413E4F">
        <w:rPr>
          <w:rFonts w:ascii="Georgia" w:eastAsia="Times New Roman" w:hAnsi="Georgia"/>
          <w:sz w:val="22"/>
          <w:szCs w:val="22"/>
        </w:rPr>
        <w:t xml:space="preserve">ection 199A </w:t>
      </w:r>
      <w:r w:rsidRPr="00253D91">
        <w:rPr>
          <w:rFonts w:ascii="Georgia" w:eastAsia="Times New Roman" w:hAnsi="Georgia"/>
          <w:sz w:val="22"/>
          <w:szCs w:val="22"/>
        </w:rPr>
        <w:t xml:space="preserve">deduction enacted as part of the </w:t>
      </w:r>
      <w:r w:rsidRPr="00EB57C1">
        <w:rPr>
          <w:rFonts w:ascii="Georgia" w:eastAsia="Times New Roman" w:hAnsi="Georgia"/>
          <w:i/>
          <w:iCs/>
          <w:sz w:val="22"/>
          <w:szCs w:val="22"/>
        </w:rPr>
        <w:t>TCJA</w:t>
      </w:r>
      <w:r w:rsidRPr="00253D91">
        <w:rPr>
          <w:rFonts w:ascii="Georgia" w:eastAsia="Times New Roman" w:hAnsi="Georgia"/>
          <w:sz w:val="22"/>
          <w:szCs w:val="22"/>
        </w:rPr>
        <w:t>.</w:t>
      </w:r>
      <w:r w:rsidRPr="00EB57C1">
        <w:rPr>
          <w:rFonts w:ascii="Georgia" w:eastAsia="Times New Roman" w:hAnsi="Georgia"/>
          <w:sz w:val="22"/>
          <w:szCs w:val="22"/>
        </w:rPr>
        <w:t xml:space="preserve"> To this end, the multifamily industry strongly supports the </w:t>
      </w:r>
      <w:r w:rsidRPr="00EB57C1">
        <w:rPr>
          <w:rFonts w:ascii="Georgia" w:eastAsia="Times New Roman" w:hAnsi="Georgia"/>
          <w:i/>
          <w:iCs/>
          <w:sz w:val="22"/>
          <w:szCs w:val="22"/>
        </w:rPr>
        <w:t xml:space="preserve">Main Street Tax Certainty Act </w:t>
      </w:r>
      <w:r w:rsidRPr="00EB57C1">
        <w:rPr>
          <w:rFonts w:ascii="Georgia" w:eastAsia="Times New Roman" w:hAnsi="Georgia"/>
          <w:sz w:val="22"/>
          <w:szCs w:val="22"/>
        </w:rPr>
        <w:t>(H.R. 4721</w:t>
      </w:r>
      <w:r w:rsidR="00E30269">
        <w:rPr>
          <w:rFonts w:ascii="Georgia" w:eastAsia="Times New Roman" w:hAnsi="Georgia"/>
          <w:sz w:val="22"/>
          <w:szCs w:val="22"/>
        </w:rPr>
        <w:t xml:space="preserve"> / S. 1706</w:t>
      </w:r>
      <w:r w:rsidRPr="00EB57C1">
        <w:rPr>
          <w:rFonts w:ascii="Georgia" w:eastAsia="Times New Roman" w:hAnsi="Georgia"/>
          <w:sz w:val="22"/>
          <w:szCs w:val="22"/>
        </w:rPr>
        <w:t xml:space="preserve">) that would </w:t>
      </w:r>
      <w:r w:rsidR="009820BD">
        <w:rPr>
          <w:rFonts w:ascii="Georgia" w:eastAsia="Times New Roman" w:hAnsi="Georgia"/>
          <w:sz w:val="22"/>
          <w:szCs w:val="22"/>
        </w:rPr>
        <w:t>make permanent</w:t>
      </w:r>
      <w:r w:rsidRPr="00EB57C1">
        <w:rPr>
          <w:rFonts w:ascii="Georgia" w:eastAsia="Times New Roman" w:hAnsi="Georgia"/>
          <w:sz w:val="22"/>
          <w:szCs w:val="22"/>
        </w:rPr>
        <w:t xml:space="preserve"> the 20</w:t>
      </w:r>
      <w:r w:rsidR="00413E4F">
        <w:rPr>
          <w:rFonts w:ascii="Georgia" w:eastAsia="Times New Roman" w:hAnsi="Georgia"/>
          <w:sz w:val="22"/>
          <w:szCs w:val="22"/>
        </w:rPr>
        <w:t>-</w:t>
      </w:r>
      <w:r w:rsidRPr="00EB57C1">
        <w:rPr>
          <w:rFonts w:ascii="Georgia" w:eastAsia="Times New Roman" w:hAnsi="Georgia"/>
          <w:sz w:val="22"/>
          <w:szCs w:val="22"/>
        </w:rPr>
        <w:t>percent qualified business income deduction. Introduced by Rep</w:t>
      </w:r>
      <w:r w:rsidR="00E30269">
        <w:rPr>
          <w:rFonts w:ascii="Georgia" w:eastAsia="Times New Roman" w:hAnsi="Georgia"/>
          <w:sz w:val="22"/>
          <w:szCs w:val="22"/>
        </w:rPr>
        <w:t>resentative</w:t>
      </w:r>
      <w:r w:rsidRPr="00EB57C1">
        <w:rPr>
          <w:rFonts w:ascii="Georgia" w:eastAsia="Times New Roman" w:hAnsi="Georgia"/>
          <w:sz w:val="22"/>
          <w:szCs w:val="22"/>
        </w:rPr>
        <w:t xml:space="preserve"> Smucker</w:t>
      </w:r>
      <w:r w:rsidR="00E30269">
        <w:rPr>
          <w:rFonts w:ascii="Georgia" w:eastAsia="Times New Roman" w:hAnsi="Georgia"/>
          <w:sz w:val="22"/>
          <w:szCs w:val="22"/>
        </w:rPr>
        <w:t xml:space="preserve"> and Senator Daines</w:t>
      </w:r>
      <w:r w:rsidRPr="00EB57C1">
        <w:rPr>
          <w:rFonts w:ascii="Georgia" w:eastAsia="Times New Roman" w:hAnsi="Georgia"/>
          <w:sz w:val="22"/>
          <w:szCs w:val="22"/>
        </w:rPr>
        <w:t xml:space="preserve">, this legislation has </w:t>
      </w:r>
      <w:r w:rsidR="000A6662">
        <w:rPr>
          <w:rFonts w:ascii="Georgia" w:eastAsia="Times New Roman" w:hAnsi="Georgia"/>
          <w:sz w:val="22"/>
          <w:szCs w:val="22"/>
        </w:rPr>
        <w:t>17</w:t>
      </w:r>
      <w:r w:rsidR="00D63696">
        <w:rPr>
          <w:rFonts w:ascii="Georgia" w:eastAsia="Times New Roman" w:hAnsi="Georgia"/>
          <w:sz w:val="22"/>
          <w:szCs w:val="22"/>
        </w:rPr>
        <w:t>7</w:t>
      </w:r>
      <w:r w:rsidRPr="00EB57C1">
        <w:rPr>
          <w:rFonts w:ascii="Georgia" w:eastAsia="Times New Roman" w:hAnsi="Georgia"/>
          <w:sz w:val="22"/>
          <w:szCs w:val="22"/>
        </w:rPr>
        <w:t xml:space="preserve"> </w:t>
      </w:r>
      <w:r w:rsidR="00E30269">
        <w:rPr>
          <w:rFonts w:ascii="Georgia" w:eastAsia="Times New Roman" w:hAnsi="Georgia"/>
          <w:sz w:val="22"/>
          <w:szCs w:val="22"/>
        </w:rPr>
        <w:t xml:space="preserve">House </w:t>
      </w:r>
      <w:r w:rsidRPr="00EB57C1">
        <w:rPr>
          <w:rFonts w:ascii="Georgia" w:eastAsia="Times New Roman" w:hAnsi="Georgia"/>
          <w:sz w:val="22"/>
          <w:szCs w:val="22"/>
        </w:rPr>
        <w:t>cosponsors</w:t>
      </w:r>
      <w:r w:rsidR="00E30269">
        <w:rPr>
          <w:rFonts w:ascii="Georgia" w:eastAsia="Times New Roman" w:hAnsi="Georgia"/>
          <w:sz w:val="22"/>
          <w:szCs w:val="22"/>
        </w:rPr>
        <w:t xml:space="preserve"> and 32 Senate cosponsors</w:t>
      </w:r>
      <w:r w:rsidRPr="00EB57C1">
        <w:rPr>
          <w:rFonts w:ascii="Georgia" w:eastAsia="Times New Roman" w:hAnsi="Georgia"/>
          <w:sz w:val="22"/>
          <w:szCs w:val="22"/>
        </w:rPr>
        <w:t>.</w:t>
      </w:r>
    </w:p>
    <w:p w14:paraId="259024A8" w14:textId="7BAB0E2D" w:rsidR="00253D91" w:rsidRPr="00253D91" w:rsidRDefault="00000000" w:rsidP="002C7458">
      <w:pPr>
        <w:spacing w:before="100" w:beforeAutospacing="1" w:after="100" w:afterAutospacing="1" w:line="240" w:lineRule="exact"/>
        <w:ind w:left="-475" w:right="-187"/>
        <w:jc w:val="both"/>
        <w:rPr>
          <w:rFonts w:ascii="Georgia" w:eastAsia="Times New Roman" w:hAnsi="Georgia"/>
          <w:sz w:val="22"/>
          <w:szCs w:val="22"/>
        </w:rPr>
      </w:pPr>
      <w:r w:rsidRPr="00253D91">
        <w:rPr>
          <w:rFonts w:ascii="Georgia" w:eastAsia="Times New Roman" w:hAnsi="Georgia"/>
          <w:sz w:val="22"/>
          <w:szCs w:val="22"/>
        </w:rPr>
        <w:t>Failure to extend today</w:t>
      </w:r>
      <w:r w:rsidR="002C7458" w:rsidRPr="00EB57C1">
        <w:rPr>
          <w:rFonts w:ascii="Georgia" w:eastAsia="Times New Roman" w:hAnsi="Georgia"/>
          <w:sz w:val="22"/>
          <w:szCs w:val="22"/>
        </w:rPr>
        <w:t>’</w:t>
      </w:r>
      <w:r w:rsidRPr="00253D91">
        <w:rPr>
          <w:rFonts w:ascii="Georgia" w:eastAsia="Times New Roman" w:hAnsi="Georgia"/>
          <w:sz w:val="22"/>
          <w:szCs w:val="22"/>
        </w:rPr>
        <w:t>s tax laws would result in a substantial tax increase and further exacerbate the nation</w:t>
      </w:r>
      <w:r w:rsidR="00206FD7" w:rsidRPr="00EB57C1">
        <w:rPr>
          <w:rFonts w:ascii="Georgia" w:eastAsia="Times New Roman" w:hAnsi="Georgia"/>
          <w:sz w:val="22"/>
          <w:szCs w:val="22"/>
        </w:rPr>
        <w:t>’</w:t>
      </w:r>
      <w:r w:rsidRPr="00253D91">
        <w:rPr>
          <w:rFonts w:ascii="Georgia" w:eastAsia="Times New Roman" w:hAnsi="Georgia"/>
          <w:sz w:val="22"/>
          <w:szCs w:val="22"/>
        </w:rPr>
        <w:t>s housing challenges.</w:t>
      </w:r>
      <w:r w:rsidR="00BF72D1" w:rsidRPr="00EB57C1">
        <w:rPr>
          <w:rFonts w:ascii="Georgia" w:eastAsia="Times New Roman" w:hAnsi="Georgia"/>
          <w:sz w:val="22"/>
          <w:szCs w:val="22"/>
        </w:rPr>
        <w:t xml:space="preserve"> Put simply, higher taxes mean fewer dollars to build new units and preserve our existing housing stock.</w:t>
      </w:r>
    </w:p>
    <w:p w14:paraId="25DAF51C" w14:textId="77777777" w:rsidR="00253D91" w:rsidRPr="00EB57C1" w:rsidRDefault="00000000" w:rsidP="00E83B70">
      <w:pPr>
        <w:pStyle w:val="NormalWeb"/>
        <w:spacing w:before="0" w:beforeAutospacing="0" w:after="0" w:afterAutospacing="0"/>
        <w:ind w:left="-475" w:right="-187"/>
        <w:jc w:val="both"/>
        <w:rPr>
          <w:rFonts w:ascii="Georgia" w:hAnsi="Georgia"/>
          <w:b/>
          <w:bCs/>
          <w:i/>
          <w:iCs/>
          <w:sz w:val="22"/>
          <w:szCs w:val="22"/>
        </w:rPr>
      </w:pPr>
      <w:r w:rsidRPr="00EB57C1">
        <w:rPr>
          <w:rFonts w:ascii="Georgia" w:hAnsi="Georgia"/>
          <w:b/>
          <w:bCs/>
          <w:i/>
          <w:iCs/>
          <w:sz w:val="22"/>
          <w:szCs w:val="22"/>
        </w:rPr>
        <w:t>Make Permanent TCJA Estate Tax Rules</w:t>
      </w:r>
    </w:p>
    <w:p w14:paraId="5BF9EFDD" w14:textId="77777777" w:rsidR="00C940E3" w:rsidRPr="00C940E3" w:rsidRDefault="00000000" w:rsidP="00C940E3">
      <w:pPr>
        <w:spacing w:before="100" w:beforeAutospacing="1" w:after="100" w:afterAutospacing="1" w:line="240" w:lineRule="exact"/>
        <w:ind w:left="-475" w:right="-187"/>
        <w:jc w:val="both"/>
        <w:rPr>
          <w:rFonts w:ascii="Georgia" w:eastAsia="Times New Roman" w:hAnsi="Georgia"/>
          <w:sz w:val="22"/>
          <w:szCs w:val="22"/>
        </w:rPr>
      </w:pPr>
      <w:r w:rsidRPr="00C940E3">
        <w:rPr>
          <w:rFonts w:ascii="Georgia" w:eastAsia="Times New Roman" w:hAnsi="Georgia"/>
          <w:sz w:val="22"/>
          <w:szCs w:val="22"/>
        </w:rPr>
        <w:t>Because many apartment firms are small businesses, often family owned, estate planning is a major consideration for company principals. A critical part of planning focuses on the estate tax imposed on the transfer of their assets to their heirs.</w:t>
      </w:r>
    </w:p>
    <w:p w14:paraId="1E73D012" w14:textId="3323C3BD" w:rsidR="00594250" w:rsidRPr="00EB57C1" w:rsidRDefault="00000000" w:rsidP="00594250">
      <w:pPr>
        <w:spacing w:before="100" w:beforeAutospacing="1" w:after="100" w:afterAutospacing="1" w:line="240" w:lineRule="exact"/>
        <w:ind w:left="-475" w:right="-187"/>
        <w:jc w:val="both"/>
        <w:rPr>
          <w:rFonts w:ascii="Georgia" w:eastAsia="Times New Roman" w:hAnsi="Georgia"/>
          <w:sz w:val="22"/>
          <w:szCs w:val="22"/>
        </w:rPr>
      </w:pPr>
      <w:r w:rsidRPr="00C940E3">
        <w:rPr>
          <w:rFonts w:ascii="Georgia" w:eastAsia="Times New Roman" w:hAnsi="Georgia"/>
          <w:sz w:val="22"/>
          <w:szCs w:val="22"/>
        </w:rPr>
        <w:t xml:space="preserve">As part of </w:t>
      </w:r>
      <w:r w:rsidRPr="00594250">
        <w:rPr>
          <w:rFonts w:ascii="Georgia" w:eastAsia="Times New Roman" w:hAnsi="Georgia"/>
          <w:i/>
          <w:iCs/>
          <w:sz w:val="22"/>
          <w:szCs w:val="22"/>
        </w:rPr>
        <w:t>TCJA</w:t>
      </w:r>
      <w:r w:rsidRPr="00C940E3">
        <w:rPr>
          <w:rFonts w:ascii="Georgia" w:eastAsia="Times New Roman" w:hAnsi="Georgia"/>
          <w:sz w:val="22"/>
          <w:szCs w:val="22"/>
        </w:rPr>
        <w:t>, Congress doubled the estate tax exclusion through 2025.</w:t>
      </w:r>
      <w:r>
        <w:rPr>
          <w:rFonts w:ascii="Georgia" w:eastAsia="Times New Roman" w:hAnsi="Georgia"/>
          <w:sz w:val="22"/>
          <w:szCs w:val="22"/>
        </w:rPr>
        <w:t xml:space="preserve"> </w:t>
      </w:r>
      <w:r w:rsidRPr="00C940E3">
        <w:rPr>
          <w:rFonts w:ascii="Georgia" w:eastAsia="Times New Roman" w:hAnsi="Georgia"/>
          <w:sz w:val="22"/>
          <w:szCs w:val="22"/>
        </w:rPr>
        <w:t xml:space="preserve">As many apartment executives </w:t>
      </w:r>
      <w:r w:rsidR="00413E4F">
        <w:rPr>
          <w:rFonts w:ascii="Georgia" w:eastAsia="Times New Roman" w:hAnsi="Georgia"/>
          <w:sz w:val="22"/>
          <w:szCs w:val="22"/>
        </w:rPr>
        <w:t xml:space="preserve">plan for the continuity of the housing properties in the hands of </w:t>
      </w:r>
      <w:r w:rsidRPr="00C940E3">
        <w:rPr>
          <w:rFonts w:ascii="Georgia" w:eastAsia="Times New Roman" w:hAnsi="Georgia"/>
          <w:sz w:val="22"/>
          <w:szCs w:val="22"/>
        </w:rPr>
        <w:t>their heirs, today’s estate tax rules provide clarity and consistency in the tax code</w:t>
      </w:r>
      <w:r w:rsidR="00413E4F">
        <w:rPr>
          <w:rFonts w:ascii="Georgia" w:eastAsia="Times New Roman" w:hAnsi="Georgia"/>
          <w:sz w:val="22"/>
          <w:szCs w:val="22"/>
        </w:rPr>
        <w:t>,</w:t>
      </w:r>
      <w:r w:rsidRPr="00C940E3">
        <w:rPr>
          <w:rFonts w:ascii="Georgia" w:eastAsia="Times New Roman" w:hAnsi="Georgia"/>
          <w:sz w:val="22"/>
          <w:szCs w:val="22"/>
        </w:rPr>
        <w:t xml:space="preserve"> but only through 2025. The apartment industry supports making the estate tax rules enacted in 2017 permanent.</w:t>
      </w:r>
    </w:p>
    <w:p w14:paraId="5C0213C3" w14:textId="77777777" w:rsidR="00C940E3" w:rsidRPr="00C940E3" w:rsidRDefault="00000000" w:rsidP="00C940E3">
      <w:pPr>
        <w:spacing w:before="100" w:beforeAutospacing="1" w:after="100" w:afterAutospacing="1" w:line="240" w:lineRule="exact"/>
        <w:ind w:left="-475" w:right="-187"/>
        <w:jc w:val="both"/>
        <w:rPr>
          <w:rFonts w:ascii="Georgia" w:eastAsia="Times New Roman" w:hAnsi="Georgia"/>
          <w:sz w:val="22"/>
          <w:szCs w:val="22"/>
        </w:rPr>
      </w:pPr>
      <w:r w:rsidRPr="00C940E3">
        <w:rPr>
          <w:rFonts w:ascii="Georgia" w:eastAsia="Times New Roman" w:hAnsi="Georgia"/>
          <w:sz w:val="22"/>
          <w:szCs w:val="22"/>
        </w:rPr>
        <w:t>The estate tax rules include three key elements:</w:t>
      </w:r>
    </w:p>
    <w:p w14:paraId="56BCF5C8" w14:textId="5DDA00AE" w:rsidR="00C940E3" w:rsidRPr="00EB57C1" w:rsidRDefault="00000000" w:rsidP="00C940E3">
      <w:pPr>
        <w:pStyle w:val="ListParagraph"/>
        <w:numPr>
          <w:ilvl w:val="0"/>
          <w:numId w:val="27"/>
        </w:numPr>
        <w:spacing w:before="100" w:beforeAutospacing="1" w:after="240" w:line="240" w:lineRule="exact"/>
        <w:ind w:right="-187"/>
        <w:jc w:val="both"/>
        <w:rPr>
          <w:rFonts w:ascii="Georgia" w:eastAsia="Times New Roman" w:hAnsi="Georgia"/>
          <w:sz w:val="22"/>
          <w:szCs w:val="22"/>
        </w:rPr>
      </w:pPr>
      <w:r w:rsidRPr="00B57D8D">
        <w:rPr>
          <w:rFonts w:ascii="Georgia" w:eastAsia="Times New Roman" w:hAnsi="Georgia"/>
          <w:sz w:val="22"/>
          <w:szCs w:val="22"/>
        </w:rPr>
        <w:t>Exemption level:</w:t>
      </w:r>
      <w:r w:rsidRPr="00EB57C1">
        <w:rPr>
          <w:rFonts w:ascii="Georgia" w:eastAsia="Times New Roman" w:hAnsi="Georgia"/>
          <w:sz w:val="22"/>
          <w:szCs w:val="22"/>
        </w:rPr>
        <w:t xml:space="preserve"> The estate</w:t>
      </w:r>
      <w:r w:rsidR="00413E4F">
        <w:rPr>
          <w:rFonts w:ascii="Georgia" w:eastAsia="Times New Roman" w:hAnsi="Georgia"/>
          <w:sz w:val="22"/>
          <w:szCs w:val="22"/>
        </w:rPr>
        <w:t>-</w:t>
      </w:r>
      <w:r w:rsidRPr="00EB57C1">
        <w:rPr>
          <w:rFonts w:ascii="Georgia" w:eastAsia="Times New Roman" w:hAnsi="Georgia"/>
          <w:sz w:val="22"/>
          <w:szCs w:val="22"/>
        </w:rPr>
        <w:t xml:space="preserve">tax exemption level is the amount that a donor may leave to an heir without incurring any federal estate tax liability. </w:t>
      </w:r>
      <w:r w:rsidR="00413E4F">
        <w:rPr>
          <w:rFonts w:ascii="Georgia" w:eastAsia="Times New Roman" w:hAnsi="Georgia"/>
          <w:sz w:val="22"/>
          <w:szCs w:val="22"/>
        </w:rPr>
        <w:t xml:space="preserve">As a result of </w:t>
      </w:r>
      <w:r w:rsidR="00413E4F" w:rsidRPr="0006464A">
        <w:rPr>
          <w:rFonts w:ascii="Georgia" w:eastAsia="Times New Roman" w:hAnsi="Georgia"/>
          <w:i/>
          <w:iCs/>
          <w:sz w:val="22"/>
          <w:szCs w:val="22"/>
        </w:rPr>
        <w:t>TCJA</w:t>
      </w:r>
      <w:r w:rsidR="00413E4F">
        <w:rPr>
          <w:rFonts w:ascii="Georgia" w:eastAsia="Times New Roman" w:hAnsi="Georgia"/>
          <w:i/>
          <w:iCs/>
          <w:sz w:val="22"/>
          <w:szCs w:val="22"/>
        </w:rPr>
        <w:t>,</w:t>
      </w:r>
      <w:r w:rsidR="00413E4F">
        <w:rPr>
          <w:rFonts w:ascii="Georgia" w:eastAsia="Times New Roman" w:hAnsi="Georgia"/>
          <w:sz w:val="22"/>
          <w:szCs w:val="22"/>
        </w:rPr>
        <w:t xml:space="preserve"> </w:t>
      </w:r>
      <w:r w:rsidR="00DC57CF">
        <w:rPr>
          <w:rFonts w:ascii="Georgia" w:eastAsia="Times New Roman" w:hAnsi="Georgia"/>
          <w:sz w:val="22"/>
          <w:szCs w:val="22"/>
        </w:rPr>
        <w:t xml:space="preserve">an individual is allowed an exemption of </w:t>
      </w:r>
      <w:r w:rsidRPr="00EB57C1">
        <w:rPr>
          <w:rFonts w:ascii="Georgia" w:eastAsia="Times New Roman" w:hAnsi="Georgia"/>
          <w:sz w:val="22"/>
          <w:szCs w:val="22"/>
        </w:rPr>
        <w:t>$13.61 million ($27.22 million per couple</w:t>
      </w:r>
      <w:r w:rsidR="00DC57CF">
        <w:rPr>
          <w:rFonts w:ascii="Georgia" w:eastAsia="Times New Roman" w:hAnsi="Georgia"/>
          <w:sz w:val="22"/>
          <w:szCs w:val="22"/>
        </w:rPr>
        <w:t>) in 2024</w:t>
      </w:r>
      <w:r w:rsidRPr="00EB57C1">
        <w:rPr>
          <w:rFonts w:ascii="Georgia" w:eastAsia="Times New Roman" w:hAnsi="Georgia"/>
          <w:sz w:val="22"/>
          <w:szCs w:val="22"/>
        </w:rPr>
        <w:t xml:space="preserve">, </w:t>
      </w:r>
      <w:r w:rsidR="00DC57CF">
        <w:rPr>
          <w:rFonts w:ascii="Georgia" w:eastAsia="Times New Roman" w:hAnsi="Georgia"/>
          <w:sz w:val="22"/>
          <w:szCs w:val="22"/>
        </w:rPr>
        <w:t xml:space="preserve">which is </w:t>
      </w:r>
      <w:r w:rsidRPr="00EB57C1">
        <w:rPr>
          <w:rFonts w:ascii="Georgia" w:eastAsia="Times New Roman" w:hAnsi="Georgia"/>
          <w:sz w:val="22"/>
          <w:szCs w:val="22"/>
        </w:rPr>
        <w:t>indexed for inflation.</w:t>
      </w:r>
    </w:p>
    <w:p w14:paraId="2A2DE09C" w14:textId="77777777" w:rsidR="00C940E3" w:rsidRPr="00EB57C1" w:rsidRDefault="00C940E3" w:rsidP="00C940E3">
      <w:pPr>
        <w:pStyle w:val="ListParagraph"/>
        <w:spacing w:before="100" w:beforeAutospacing="1" w:after="240" w:line="240" w:lineRule="exact"/>
        <w:ind w:left="245" w:right="-187"/>
        <w:jc w:val="both"/>
        <w:rPr>
          <w:rFonts w:ascii="Georgia" w:eastAsia="Times New Roman" w:hAnsi="Georgia"/>
          <w:sz w:val="22"/>
          <w:szCs w:val="22"/>
        </w:rPr>
      </w:pPr>
    </w:p>
    <w:p w14:paraId="3D0E8A2D" w14:textId="649B79E8" w:rsidR="00C940E3" w:rsidRPr="00EB57C1" w:rsidRDefault="00000000" w:rsidP="00C940E3">
      <w:pPr>
        <w:pStyle w:val="ListParagraph"/>
        <w:numPr>
          <w:ilvl w:val="0"/>
          <w:numId w:val="27"/>
        </w:numPr>
        <w:spacing w:before="100" w:beforeAutospacing="1" w:after="240" w:line="240" w:lineRule="exact"/>
        <w:ind w:right="-187"/>
        <w:jc w:val="both"/>
        <w:rPr>
          <w:rFonts w:ascii="Georgia" w:eastAsia="Times New Roman" w:hAnsi="Georgia"/>
          <w:sz w:val="22"/>
          <w:szCs w:val="22"/>
        </w:rPr>
      </w:pPr>
      <w:r w:rsidRPr="00B57D8D">
        <w:rPr>
          <w:rFonts w:ascii="Georgia" w:eastAsia="Times New Roman" w:hAnsi="Georgia"/>
          <w:sz w:val="22"/>
          <w:szCs w:val="22"/>
        </w:rPr>
        <w:t>Tax rate:</w:t>
      </w:r>
      <w:r w:rsidRPr="00EB57C1">
        <w:rPr>
          <w:rFonts w:ascii="Georgia" w:eastAsia="Times New Roman" w:hAnsi="Georgia"/>
          <w:sz w:val="22"/>
          <w:szCs w:val="22"/>
        </w:rPr>
        <w:t xml:space="preserve"> The estate tax rate applies to the value of an estate that exceeds the exemption level. Under </w:t>
      </w:r>
      <w:r w:rsidR="00DC57CF">
        <w:rPr>
          <w:rFonts w:ascii="Georgia" w:eastAsia="Times New Roman" w:hAnsi="Georgia"/>
          <w:sz w:val="22"/>
          <w:szCs w:val="22"/>
        </w:rPr>
        <w:t>present</w:t>
      </w:r>
      <w:r w:rsidRPr="00EB57C1">
        <w:rPr>
          <w:rFonts w:ascii="Georgia" w:eastAsia="Times New Roman" w:hAnsi="Georgia"/>
          <w:sz w:val="22"/>
          <w:szCs w:val="22"/>
        </w:rPr>
        <w:t xml:space="preserve"> rules, the maximum rate is 40 percent</w:t>
      </w:r>
      <w:r w:rsidR="00DC57CF">
        <w:rPr>
          <w:rFonts w:ascii="Georgia" w:eastAsia="Times New Roman" w:hAnsi="Georgia"/>
          <w:sz w:val="22"/>
          <w:szCs w:val="22"/>
        </w:rPr>
        <w:t xml:space="preserve"> (which is not subject to an expiration date under current law)</w:t>
      </w:r>
      <w:r w:rsidRPr="00EB57C1">
        <w:rPr>
          <w:rFonts w:ascii="Georgia" w:eastAsia="Times New Roman" w:hAnsi="Georgia"/>
          <w:sz w:val="22"/>
          <w:szCs w:val="22"/>
        </w:rPr>
        <w:t>.</w:t>
      </w:r>
    </w:p>
    <w:p w14:paraId="71D7C174" w14:textId="77777777" w:rsidR="00C940E3" w:rsidRPr="00EB57C1" w:rsidRDefault="00C940E3" w:rsidP="00C940E3">
      <w:pPr>
        <w:pStyle w:val="ListParagraph"/>
        <w:spacing w:before="100" w:beforeAutospacing="1" w:after="100" w:afterAutospacing="1" w:line="240" w:lineRule="exact"/>
        <w:ind w:left="245" w:right="-187"/>
        <w:jc w:val="both"/>
        <w:rPr>
          <w:rFonts w:ascii="Georgia" w:eastAsia="Times New Roman" w:hAnsi="Georgia"/>
          <w:sz w:val="22"/>
          <w:szCs w:val="22"/>
        </w:rPr>
      </w:pPr>
    </w:p>
    <w:p w14:paraId="7D256890" w14:textId="4E25DDAB" w:rsidR="00C940E3" w:rsidRPr="00EB57C1" w:rsidRDefault="00000000" w:rsidP="00C940E3">
      <w:pPr>
        <w:pStyle w:val="ListParagraph"/>
        <w:numPr>
          <w:ilvl w:val="0"/>
          <w:numId w:val="27"/>
        </w:numPr>
        <w:spacing w:before="100" w:beforeAutospacing="1" w:after="100" w:afterAutospacing="1" w:line="240" w:lineRule="exact"/>
        <w:ind w:right="-187"/>
        <w:jc w:val="both"/>
        <w:rPr>
          <w:rFonts w:ascii="Georgia" w:eastAsia="Times New Roman" w:hAnsi="Georgia"/>
          <w:sz w:val="22"/>
          <w:szCs w:val="22"/>
        </w:rPr>
      </w:pPr>
      <w:r w:rsidRPr="00B57D8D">
        <w:rPr>
          <w:rFonts w:ascii="Georgia" w:eastAsia="Times New Roman" w:hAnsi="Georgia"/>
          <w:sz w:val="22"/>
          <w:szCs w:val="22"/>
        </w:rPr>
        <w:t>Basis rules:</w:t>
      </w:r>
      <w:r w:rsidRPr="00EB57C1">
        <w:rPr>
          <w:rFonts w:ascii="Georgia" w:eastAsia="Times New Roman" w:hAnsi="Georgia"/>
          <w:sz w:val="22"/>
          <w:szCs w:val="22"/>
        </w:rPr>
        <w:t xml:space="preserve"> The </w:t>
      </w:r>
      <w:proofErr w:type="spellStart"/>
      <w:r w:rsidRPr="00EB57C1">
        <w:rPr>
          <w:rFonts w:ascii="Georgia" w:eastAsia="Times New Roman" w:hAnsi="Georgia"/>
          <w:sz w:val="22"/>
          <w:szCs w:val="22"/>
        </w:rPr>
        <w:t>basis</w:t>
      </w:r>
      <w:proofErr w:type="spellEnd"/>
      <w:r w:rsidRPr="00EB57C1">
        <w:rPr>
          <w:rFonts w:ascii="Georgia" w:eastAsia="Times New Roman" w:hAnsi="Georgia"/>
          <w:sz w:val="22"/>
          <w:szCs w:val="22"/>
        </w:rPr>
        <w:t xml:space="preserve"> rules determine the tax basis of inherited property. The estate tax today </w:t>
      </w:r>
      <w:r w:rsidR="00DC57CF">
        <w:rPr>
          <w:rFonts w:ascii="Georgia" w:eastAsia="Times New Roman" w:hAnsi="Georgia"/>
          <w:sz w:val="22"/>
          <w:szCs w:val="22"/>
        </w:rPr>
        <w:t xml:space="preserve">includes </w:t>
      </w:r>
      <w:r w:rsidRPr="00EB57C1">
        <w:rPr>
          <w:rFonts w:ascii="Georgia" w:eastAsia="Times New Roman" w:hAnsi="Georgia"/>
          <w:sz w:val="22"/>
          <w:szCs w:val="22"/>
        </w:rPr>
        <w:t xml:space="preserve">stepped-up basis rules, which </w:t>
      </w:r>
      <w:r w:rsidR="00DC57CF">
        <w:rPr>
          <w:rFonts w:ascii="Georgia" w:eastAsia="Times New Roman" w:hAnsi="Georgia"/>
          <w:sz w:val="22"/>
          <w:szCs w:val="22"/>
        </w:rPr>
        <w:t xml:space="preserve">adjust </w:t>
      </w:r>
      <w:r w:rsidRPr="00EB57C1">
        <w:rPr>
          <w:rFonts w:ascii="Georgia" w:eastAsia="Times New Roman" w:hAnsi="Georgia"/>
          <w:sz w:val="22"/>
          <w:szCs w:val="22"/>
        </w:rPr>
        <w:t xml:space="preserve">the tax basis of inherited property to reflect </w:t>
      </w:r>
      <w:r w:rsidR="00DC57CF">
        <w:rPr>
          <w:rFonts w:ascii="Georgia" w:eastAsia="Times New Roman" w:hAnsi="Georgia"/>
          <w:sz w:val="22"/>
          <w:szCs w:val="22"/>
        </w:rPr>
        <w:t xml:space="preserve">its </w:t>
      </w:r>
      <w:r w:rsidRPr="00EB57C1">
        <w:rPr>
          <w:rFonts w:ascii="Georgia" w:eastAsia="Times New Roman" w:hAnsi="Georgia"/>
          <w:sz w:val="22"/>
          <w:szCs w:val="22"/>
        </w:rPr>
        <w:t xml:space="preserve">fair market value </w:t>
      </w:r>
      <w:r w:rsidR="00DC57CF">
        <w:rPr>
          <w:rFonts w:ascii="Georgia" w:eastAsia="Times New Roman" w:hAnsi="Georgia"/>
          <w:sz w:val="22"/>
          <w:szCs w:val="22"/>
        </w:rPr>
        <w:t>when the decedent dies</w:t>
      </w:r>
      <w:r w:rsidRPr="00EB57C1">
        <w:rPr>
          <w:rFonts w:ascii="Georgia" w:eastAsia="Times New Roman" w:hAnsi="Georgia"/>
          <w:sz w:val="22"/>
          <w:szCs w:val="22"/>
        </w:rPr>
        <w:t>. This is particularly important for the apartment industry because many industry executives’ estates include significant amounts of depreciable real property.</w:t>
      </w:r>
      <w:r w:rsidR="00DC57CF">
        <w:rPr>
          <w:rFonts w:ascii="Georgia" w:eastAsia="Times New Roman" w:hAnsi="Georgia"/>
          <w:sz w:val="22"/>
          <w:szCs w:val="22"/>
        </w:rPr>
        <w:t xml:space="preserve"> The </w:t>
      </w:r>
      <w:proofErr w:type="spellStart"/>
      <w:r w:rsidR="00DC57CF">
        <w:rPr>
          <w:rFonts w:ascii="Georgia" w:eastAsia="Times New Roman" w:hAnsi="Georgia"/>
          <w:sz w:val="22"/>
          <w:szCs w:val="22"/>
        </w:rPr>
        <w:t>basis</w:t>
      </w:r>
      <w:proofErr w:type="spellEnd"/>
      <w:r w:rsidR="00DC57CF">
        <w:rPr>
          <w:rFonts w:ascii="Georgia" w:eastAsia="Times New Roman" w:hAnsi="Georgia"/>
          <w:sz w:val="22"/>
          <w:szCs w:val="22"/>
        </w:rPr>
        <w:t xml:space="preserve"> rules were not modified under </w:t>
      </w:r>
      <w:r w:rsidR="00DC57CF" w:rsidRPr="0006464A">
        <w:rPr>
          <w:rFonts w:ascii="Georgia" w:eastAsia="Times New Roman" w:hAnsi="Georgia"/>
          <w:i/>
          <w:iCs/>
          <w:sz w:val="22"/>
          <w:szCs w:val="22"/>
        </w:rPr>
        <w:t>TCJA</w:t>
      </w:r>
      <w:r w:rsidR="00CF5FA4">
        <w:rPr>
          <w:rFonts w:ascii="Georgia" w:eastAsia="Times New Roman" w:hAnsi="Georgia"/>
          <w:sz w:val="22"/>
          <w:szCs w:val="22"/>
        </w:rPr>
        <w:t>.</w:t>
      </w:r>
    </w:p>
    <w:p w14:paraId="6CEECD70" w14:textId="77777777" w:rsidR="006A262C" w:rsidRDefault="00000000" w:rsidP="006A262C">
      <w:pPr>
        <w:spacing w:before="100" w:beforeAutospacing="1" w:line="240" w:lineRule="exact"/>
        <w:ind w:left="-475" w:right="-187"/>
        <w:jc w:val="both"/>
        <w:rPr>
          <w:rFonts w:ascii="Georgia" w:eastAsia="Times New Roman" w:hAnsi="Georgia"/>
          <w:sz w:val="22"/>
          <w:szCs w:val="22"/>
        </w:rPr>
      </w:pPr>
      <w:r w:rsidRPr="00C940E3">
        <w:rPr>
          <w:rFonts w:ascii="Georgia" w:eastAsia="Times New Roman" w:hAnsi="Georgia"/>
          <w:sz w:val="22"/>
          <w:szCs w:val="22"/>
        </w:rPr>
        <w:t xml:space="preserve">Without stepped-up basis, the tax basis of inherited property can be quite low if the property was purchased long ago and has been depreciated over </w:t>
      </w:r>
      <w:proofErr w:type="gramStart"/>
      <w:r w:rsidRPr="00C940E3">
        <w:rPr>
          <w:rFonts w:ascii="Georgia" w:eastAsia="Times New Roman" w:hAnsi="Georgia"/>
          <w:sz w:val="22"/>
          <w:szCs w:val="22"/>
        </w:rPr>
        <w:t>a number of</w:t>
      </w:r>
      <w:proofErr w:type="gramEnd"/>
      <w:r w:rsidRPr="00C940E3">
        <w:rPr>
          <w:rFonts w:ascii="Georgia" w:eastAsia="Times New Roman" w:hAnsi="Georgia"/>
          <w:sz w:val="22"/>
          <w:szCs w:val="22"/>
        </w:rPr>
        <w:t xml:space="preserve"> years. As a result, heirs could inherit an apartment property with no basis and sizeable debt. If they sell it, they </w:t>
      </w:r>
      <w:proofErr w:type="gramStart"/>
      <w:r w:rsidR="00CF5FA4">
        <w:rPr>
          <w:rFonts w:ascii="Georgia" w:eastAsia="Times New Roman" w:hAnsi="Georgia"/>
          <w:sz w:val="22"/>
          <w:szCs w:val="22"/>
        </w:rPr>
        <w:t>would</w:t>
      </w:r>
      <w:proofErr w:type="gramEnd"/>
      <w:r w:rsidR="00CF5FA4" w:rsidRPr="00C940E3">
        <w:rPr>
          <w:rFonts w:ascii="Georgia" w:eastAsia="Times New Roman" w:hAnsi="Georgia"/>
          <w:sz w:val="22"/>
          <w:szCs w:val="22"/>
        </w:rPr>
        <w:t xml:space="preserve"> </w:t>
      </w:r>
      <w:r w:rsidRPr="00C940E3">
        <w:rPr>
          <w:rFonts w:ascii="Georgia" w:eastAsia="Times New Roman" w:hAnsi="Georgia"/>
          <w:sz w:val="22"/>
          <w:szCs w:val="22"/>
        </w:rPr>
        <w:t xml:space="preserve">face significant depreciation recapture taxes and capital gains taxes. This discourages heirs from investing further capital to maintain </w:t>
      </w:r>
      <w:r w:rsidR="00CF5FA4">
        <w:rPr>
          <w:rFonts w:ascii="Georgia" w:eastAsia="Times New Roman" w:hAnsi="Georgia"/>
          <w:sz w:val="22"/>
          <w:szCs w:val="22"/>
        </w:rPr>
        <w:t>housing property</w:t>
      </w:r>
      <w:r w:rsidR="00CF5FA4" w:rsidRPr="00C940E3">
        <w:rPr>
          <w:rFonts w:ascii="Georgia" w:eastAsia="Times New Roman" w:hAnsi="Georgia"/>
          <w:sz w:val="22"/>
          <w:szCs w:val="22"/>
        </w:rPr>
        <w:t xml:space="preserve"> </w:t>
      </w:r>
      <w:r w:rsidRPr="00C940E3">
        <w:rPr>
          <w:rFonts w:ascii="Georgia" w:eastAsia="Times New Roman" w:hAnsi="Georgia"/>
          <w:sz w:val="22"/>
          <w:szCs w:val="22"/>
        </w:rPr>
        <w:t xml:space="preserve">and removes valuable affordable housing from the </w:t>
      </w:r>
      <w:r w:rsidR="00CF5FA4">
        <w:rPr>
          <w:rFonts w:ascii="Georgia" w:eastAsia="Times New Roman" w:hAnsi="Georgia"/>
          <w:sz w:val="22"/>
          <w:szCs w:val="22"/>
        </w:rPr>
        <w:t xml:space="preserve">nation’s </w:t>
      </w:r>
      <w:r w:rsidRPr="00C940E3">
        <w:rPr>
          <w:rFonts w:ascii="Georgia" w:eastAsia="Times New Roman" w:hAnsi="Georgia"/>
          <w:sz w:val="22"/>
          <w:szCs w:val="22"/>
        </w:rPr>
        <w:t>inventory.</w:t>
      </w:r>
    </w:p>
    <w:p w14:paraId="2C978471" w14:textId="39DCF6A4" w:rsidR="00C940E3" w:rsidRPr="006A262C" w:rsidRDefault="00000000" w:rsidP="006A262C">
      <w:pPr>
        <w:spacing w:before="100" w:beforeAutospacing="1" w:line="240" w:lineRule="exact"/>
        <w:ind w:left="-475" w:right="-187"/>
        <w:jc w:val="both"/>
        <w:rPr>
          <w:rStyle w:val="Strong"/>
          <w:rFonts w:ascii="Georgia" w:eastAsia="Times New Roman" w:hAnsi="Georgia"/>
          <w:b w:val="0"/>
          <w:bCs w:val="0"/>
          <w:sz w:val="22"/>
          <w:szCs w:val="22"/>
        </w:rPr>
      </w:pPr>
      <w:r w:rsidRPr="00EB57C1">
        <w:rPr>
          <w:rStyle w:val="Strong"/>
          <w:rFonts w:ascii="Georgia" w:hAnsi="Georgia"/>
          <w:sz w:val="22"/>
          <w:szCs w:val="22"/>
        </w:rPr>
        <w:lastRenderedPageBreak/>
        <w:t>HOUSING AFFORDABILITY TAX INCENTIVES</w:t>
      </w:r>
    </w:p>
    <w:p w14:paraId="4BC0A776" w14:textId="28B85621" w:rsidR="00325209" w:rsidRPr="00EB57C1" w:rsidRDefault="00000000" w:rsidP="00325209">
      <w:pPr>
        <w:spacing w:before="100" w:beforeAutospacing="1" w:after="100" w:afterAutospacing="1" w:line="240" w:lineRule="exact"/>
        <w:ind w:left="-475" w:right="-187"/>
        <w:jc w:val="both"/>
        <w:rPr>
          <w:rFonts w:ascii="Georgia" w:hAnsi="Georgia"/>
          <w:sz w:val="22"/>
          <w:szCs w:val="22"/>
        </w:rPr>
      </w:pPr>
      <w:r w:rsidRPr="00EB57C1">
        <w:rPr>
          <w:rFonts w:ascii="Georgia" w:hAnsi="Georgia"/>
          <w:sz w:val="22"/>
          <w:szCs w:val="22"/>
        </w:rPr>
        <w:t xml:space="preserve">As mentioned above, housing tax policy can play </w:t>
      </w:r>
      <w:r w:rsidR="00CF5FA4">
        <w:rPr>
          <w:rFonts w:ascii="Georgia" w:hAnsi="Georgia"/>
          <w:sz w:val="22"/>
          <w:szCs w:val="22"/>
        </w:rPr>
        <w:t xml:space="preserve">a </w:t>
      </w:r>
      <w:r w:rsidRPr="00EB57C1">
        <w:rPr>
          <w:rFonts w:ascii="Georgia" w:hAnsi="Georgia"/>
          <w:sz w:val="22"/>
          <w:szCs w:val="22"/>
        </w:rPr>
        <w:t xml:space="preserve">key role in spurring housing supply. Accordingly, a 2025 tax bill </w:t>
      </w:r>
      <w:r w:rsidR="00CF5FA4">
        <w:rPr>
          <w:rFonts w:ascii="Georgia" w:hAnsi="Georgia"/>
          <w:sz w:val="22"/>
          <w:szCs w:val="22"/>
        </w:rPr>
        <w:t xml:space="preserve">presents an important opportunity to enact </w:t>
      </w:r>
      <w:r w:rsidRPr="00EB57C1">
        <w:rPr>
          <w:rFonts w:ascii="Georgia" w:hAnsi="Georgia"/>
          <w:sz w:val="22"/>
          <w:szCs w:val="22"/>
        </w:rPr>
        <w:t xml:space="preserve">tax proposals designed to expand the Low-Income Housing Tax Credit, establish a Workforce Housing Tax Credit, </w:t>
      </w:r>
      <w:r w:rsidR="00594250" w:rsidRPr="00EB57C1">
        <w:rPr>
          <w:rFonts w:ascii="Georgia" w:hAnsi="Georgia"/>
          <w:sz w:val="22"/>
          <w:szCs w:val="22"/>
        </w:rPr>
        <w:t>reinvigorate opportunity zones</w:t>
      </w:r>
      <w:r w:rsidR="00594250">
        <w:rPr>
          <w:rFonts w:ascii="Georgia" w:hAnsi="Georgia"/>
          <w:sz w:val="22"/>
          <w:szCs w:val="22"/>
        </w:rPr>
        <w:t>, and</w:t>
      </w:r>
      <w:r w:rsidR="00594250" w:rsidRPr="00EB57C1">
        <w:rPr>
          <w:rFonts w:ascii="Georgia" w:hAnsi="Georgia"/>
          <w:sz w:val="22"/>
          <w:szCs w:val="22"/>
        </w:rPr>
        <w:t xml:space="preserve"> </w:t>
      </w:r>
      <w:r w:rsidRPr="00EB57C1">
        <w:rPr>
          <w:rFonts w:ascii="Georgia" w:hAnsi="Georgia"/>
          <w:sz w:val="22"/>
          <w:szCs w:val="22"/>
        </w:rPr>
        <w:t xml:space="preserve">create a new incentive for adaptive reuse. </w:t>
      </w:r>
    </w:p>
    <w:p w14:paraId="38E52D7D" w14:textId="77777777" w:rsidR="00000E1C" w:rsidRPr="00EB57C1" w:rsidRDefault="00000000" w:rsidP="00325209">
      <w:pPr>
        <w:spacing w:before="100" w:beforeAutospacing="1" w:after="100" w:afterAutospacing="1" w:line="240" w:lineRule="exact"/>
        <w:ind w:left="-475" w:right="-187"/>
        <w:jc w:val="both"/>
        <w:rPr>
          <w:rFonts w:ascii="Georgia" w:eastAsia="Times New Roman" w:hAnsi="Georgia"/>
          <w:sz w:val="22"/>
          <w:szCs w:val="22"/>
        </w:rPr>
      </w:pPr>
      <w:r w:rsidRPr="00EB57C1">
        <w:rPr>
          <w:rFonts w:ascii="Georgia" w:hAnsi="Georgia"/>
          <w:b/>
          <w:bCs/>
          <w:i/>
          <w:iCs/>
          <w:sz w:val="22"/>
          <w:szCs w:val="22"/>
        </w:rPr>
        <w:t>Expand and Enhance the Low-Income Housing Tax Credit</w:t>
      </w:r>
    </w:p>
    <w:p w14:paraId="4B0EE329" w14:textId="72A9C9E9" w:rsidR="00000E1C" w:rsidRPr="00EB57C1" w:rsidRDefault="00000000" w:rsidP="00253D91">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The Low-Income Housing Tax Credit (LIHTC) is a public/private partnership that leverages federal dollars with private investment to produce affordable rental housing and stimulate new economic development in many communities. Between its inception in 1986 and </w:t>
      </w:r>
      <w:r w:rsidR="00E62BC4" w:rsidRPr="00EB57C1">
        <w:rPr>
          <w:rFonts w:ascii="Georgia" w:hAnsi="Georgia"/>
          <w:sz w:val="22"/>
          <w:szCs w:val="22"/>
        </w:rPr>
        <w:t>2022</w:t>
      </w:r>
      <w:r w:rsidRPr="00EB57C1">
        <w:rPr>
          <w:rFonts w:ascii="Georgia" w:hAnsi="Georgia"/>
          <w:sz w:val="22"/>
          <w:szCs w:val="22"/>
        </w:rPr>
        <w:t xml:space="preserve">, the LIHTC program </w:t>
      </w:r>
      <w:r w:rsidR="00CF5FA4">
        <w:rPr>
          <w:rFonts w:ascii="Georgia" w:hAnsi="Georgia"/>
          <w:sz w:val="22"/>
          <w:szCs w:val="22"/>
        </w:rPr>
        <w:t>–</w:t>
      </w:r>
      <w:r w:rsidRPr="00EB57C1">
        <w:rPr>
          <w:rFonts w:ascii="Georgia" w:hAnsi="Georgia"/>
          <w:sz w:val="22"/>
          <w:szCs w:val="22"/>
        </w:rPr>
        <w:t xml:space="preserve"> according to the A Call To Invest in Our Neighborhoods (ACTION) Campaign</w:t>
      </w:r>
      <w:r w:rsidR="00CF5FA4">
        <w:rPr>
          <w:rFonts w:ascii="Georgia" w:hAnsi="Georgia"/>
          <w:sz w:val="22"/>
          <w:szCs w:val="22"/>
        </w:rPr>
        <w:t xml:space="preserve"> – has</w:t>
      </w:r>
      <w:r w:rsidRPr="00EB57C1">
        <w:rPr>
          <w:rFonts w:ascii="Georgia" w:hAnsi="Georgia"/>
          <w:sz w:val="22"/>
          <w:szCs w:val="22"/>
        </w:rPr>
        <w:t xml:space="preserve"> developed or preserved 3.</w:t>
      </w:r>
      <w:r w:rsidR="00305CF0" w:rsidRPr="00EB57C1">
        <w:rPr>
          <w:rFonts w:ascii="Georgia" w:hAnsi="Georgia"/>
          <w:sz w:val="22"/>
          <w:szCs w:val="22"/>
        </w:rPr>
        <w:t>85</w:t>
      </w:r>
      <w:r w:rsidRPr="00EB57C1">
        <w:rPr>
          <w:rFonts w:ascii="Georgia" w:hAnsi="Georgia"/>
          <w:sz w:val="22"/>
          <w:szCs w:val="22"/>
        </w:rPr>
        <w:t xml:space="preserve"> million apartments, served 8.</w:t>
      </w:r>
      <w:r w:rsidR="00F16911" w:rsidRPr="00EB57C1">
        <w:rPr>
          <w:rFonts w:ascii="Georgia" w:hAnsi="Georgia"/>
          <w:sz w:val="22"/>
          <w:szCs w:val="22"/>
        </w:rPr>
        <w:t>97</w:t>
      </w:r>
      <w:r w:rsidRPr="00EB57C1">
        <w:rPr>
          <w:rFonts w:ascii="Georgia" w:hAnsi="Georgia"/>
          <w:sz w:val="22"/>
          <w:szCs w:val="22"/>
        </w:rPr>
        <w:t xml:space="preserve"> million low-income households, supported 6.</w:t>
      </w:r>
      <w:r w:rsidR="00970BD4" w:rsidRPr="00EB57C1">
        <w:rPr>
          <w:rFonts w:ascii="Georgia" w:hAnsi="Georgia"/>
          <w:sz w:val="22"/>
          <w:szCs w:val="22"/>
        </w:rPr>
        <w:t xml:space="preserve">33 </w:t>
      </w:r>
      <w:r w:rsidRPr="00EB57C1">
        <w:rPr>
          <w:rFonts w:ascii="Georgia" w:hAnsi="Georgia"/>
          <w:sz w:val="22"/>
          <w:szCs w:val="22"/>
        </w:rPr>
        <w:t>million jobs for one year, generated $</w:t>
      </w:r>
      <w:r w:rsidR="007E730F" w:rsidRPr="00EB57C1">
        <w:rPr>
          <w:rFonts w:ascii="Georgia" w:hAnsi="Georgia"/>
          <w:sz w:val="22"/>
          <w:szCs w:val="22"/>
        </w:rPr>
        <w:t xml:space="preserve">257.1 </w:t>
      </w:r>
      <w:r w:rsidRPr="00EB57C1">
        <w:rPr>
          <w:rFonts w:ascii="Georgia" w:hAnsi="Georgia"/>
          <w:sz w:val="22"/>
          <w:szCs w:val="22"/>
        </w:rPr>
        <w:t>billion in tax revenue, and produced $</w:t>
      </w:r>
      <w:r w:rsidR="000E1126" w:rsidRPr="00EB57C1">
        <w:rPr>
          <w:rFonts w:ascii="Georgia" w:hAnsi="Georgia"/>
          <w:sz w:val="22"/>
          <w:szCs w:val="22"/>
        </w:rPr>
        <w:t>716.3</w:t>
      </w:r>
      <w:r w:rsidRPr="00EB57C1">
        <w:rPr>
          <w:rFonts w:ascii="Georgia" w:hAnsi="Georgia"/>
          <w:sz w:val="22"/>
          <w:szCs w:val="22"/>
        </w:rPr>
        <w:t xml:space="preserve"> billion in wages and income.</w:t>
      </w:r>
      <w:r>
        <w:rPr>
          <w:rStyle w:val="FootnoteReference"/>
          <w:rFonts w:ascii="Georgia" w:hAnsi="Georgia"/>
          <w:sz w:val="22"/>
          <w:szCs w:val="22"/>
        </w:rPr>
        <w:footnoteReference w:id="7"/>
      </w:r>
      <w:r w:rsidRPr="00EB57C1">
        <w:rPr>
          <w:rFonts w:ascii="Georgia" w:hAnsi="Georgia"/>
          <w:sz w:val="22"/>
          <w:szCs w:val="22"/>
        </w:rPr>
        <w:t xml:space="preserve"> The LIHTC program provides critical support to the nation’s affordable housing production but could be </w:t>
      </w:r>
      <w:r w:rsidR="00B2702A">
        <w:rPr>
          <w:rFonts w:ascii="Georgia" w:hAnsi="Georgia"/>
          <w:sz w:val="22"/>
          <w:szCs w:val="22"/>
        </w:rPr>
        <w:t>improved to have an even greater impact</w:t>
      </w:r>
      <w:r w:rsidRPr="00EB57C1">
        <w:rPr>
          <w:rFonts w:ascii="Georgia" w:hAnsi="Georgia"/>
          <w:sz w:val="22"/>
          <w:szCs w:val="22"/>
        </w:rPr>
        <w:t xml:space="preserve">. </w:t>
      </w:r>
    </w:p>
    <w:p w14:paraId="152D7211" w14:textId="77777777" w:rsidR="00000E1C" w:rsidRPr="00EB57C1" w:rsidRDefault="00000E1C" w:rsidP="00E83B70">
      <w:pPr>
        <w:ind w:left="-475" w:right="-187"/>
        <w:jc w:val="both"/>
        <w:rPr>
          <w:rFonts w:ascii="Georgia" w:hAnsi="Georgia"/>
          <w:sz w:val="22"/>
          <w:szCs w:val="22"/>
        </w:rPr>
      </w:pPr>
    </w:p>
    <w:p w14:paraId="0B7DA54F" w14:textId="1BDA61F6"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NMHC and NAA support the </w:t>
      </w:r>
      <w:r w:rsidRPr="00EB57C1">
        <w:rPr>
          <w:rFonts w:ascii="Georgia" w:hAnsi="Georgia"/>
          <w:i/>
          <w:iCs/>
          <w:sz w:val="22"/>
          <w:szCs w:val="22"/>
        </w:rPr>
        <w:t>Affordable Housing Credit Improvement Act of 2023</w:t>
      </w:r>
      <w:r w:rsidRPr="00EB57C1">
        <w:rPr>
          <w:rFonts w:ascii="Georgia" w:hAnsi="Georgia"/>
          <w:sz w:val="22"/>
          <w:szCs w:val="22"/>
        </w:rPr>
        <w:t xml:space="preserve"> (</w:t>
      </w:r>
      <w:r w:rsidRPr="00EB57C1">
        <w:rPr>
          <w:rFonts w:ascii="Georgia" w:hAnsi="Georgia"/>
          <w:i/>
          <w:iCs/>
          <w:sz w:val="22"/>
          <w:szCs w:val="22"/>
        </w:rPr>
        <w:t>AHCIA</w:t>
      </w:r>
      <w:r w:rsidRPr="00EB57C1">
        <w:rPr>
          <w:rFonts w:ascii="Georgia" w:hAnsi="Georgia"/>
          <w:sz w:val="22"/>
          <w:szCs w:val="22"/>
        </w:rPr>
        <w:t>) (H.R. 3238</w:t>
      </w:r>
      <w:r w:rsidR="00325209" w:rsidRPr="00EB57C1">
        <w:rPr>
          <w:rFonts w:ascii="Georgia" w:hAnsi="Georgia"/>
          <w:sz w:val="22"/>
          <w:szCs w:val="22"/>
        </w:rPr>
        <w:t xml:space="preserve"> / S. 1557</w:t>
      </w:r>
      <w:r w:rsidRPr="00EB57C1">
        <w:rPr>
          <w:rFonts w:ascii="Georgia" w:hAnsi="Georgia"/>
          <w:sz w:val="22"/>
          <w:szCs w:val="22"/>
        </w:rPr>
        <w:t xml:space="preserve">). </w:t>
      </w:r>
      <w:r w:rsidR="00B2702A">
        <w:rPr>
          <w:rFonts w:ascii="Georgia" w:hAnsi="Georgia"/>
          <w:sz w:val="22"/>
          <w:szCs w:val="22"/>
        </w:rPr>
        <w:t>This bipartisan bill – i</w:t>
      </w:r>
      <w:r w:rsidRPr="00EB57C1">
        <w:rPr>
          <w:rFonts w:ascii="Georgia" w:hAnsi="Georgia"/>
          <w:sz w:val="22"/>
          <w:szCs w:val="22"/>
        </w:rPr>
        <w:t xml:space="preserve">ntroduced by </w:t>
      </w:r>
      <w:r w:rsidR="00325209" w:rsidRPr="00EB57C1">
        <w:rPr>
          <w:rFonts w:ascii="Georgia" w:hAnsi="Georgia"/>
          <w:sz w:val="22"/>
          <w:szCs w:val="22"/>
        </w:rPr>
        <w:t>Representatives</w:t>
      </w:r>
      <w:r w:rsidR="00EB57C1" w:rsidRPr="00EB57C1">
        <w:rPr>
          <w:rFonts w:ascii="Georgia" w:hAnsi="Georgia"/>
          <w:sz w:val="22"/>
          <w:szCs w:val="22"/>
        </w:rPr>
        <w:t xml:space="preserve"> LaHood, DelBene, Wenstrup, Beyer, Tenney, and Panetta</w:t>
      </w:r>
      <w:r w:rsidR="00C76B2B">
        <w:rPr>
          <w:rFonts w:ascii="Georgia" w:hAnsi="Georgia"/>
          <w:sz w:val="22"/>
          <w:szCs w:val="22"/>
        </w:rPr>
        <w:t xml:space="preserve"> and Senators Cantwell, Young, Wyden, and Blackburn</w:t>
      </w:r>
      <w:r w:rsidR="00B2702A">
        <w:rPr>
          <w:rFonts w:ascii="Georgia" w:hAnsi="Georgia"/>
          <w:sz w:val="22"/>
          <w:szCs w:val="22"/>
        </w:rPr>
        <w:t xml:space="preserve"> (with </w:t>
      </w:r>
      <w:r w:rsidR="00EB57C1" w:rsidRPr="00EB57C1">
        <w:rPr>
          <w:rFonts w:ascii="Georgia" w:hAnsi="Georgia"/>
          <w:sz w:val="22"/>
          <w:szCs w:val="22"/>
        </w:rPr>
        <w:t>22</w:t>
      </w:r>
      <w:r w:rsidR="00194C24">
        <w:rPr>
          <w:rFonts w:ascii="Georgia" w:hAnsi="Georgia"/>
          <w:sz w:val="22"/>
          <w:szCs w:val="22"/>
        </w:rPr>
        <w:t>3</w:t>
      </w:r>
      <w:r w:rsidR="00E63F51" w:rsidRPr="00EB57C1">
        <w:rPr>
          <w:rFonts w:ascii="Georgia" w:hAnsi="Georgia"/>
          <w:sz w:val="22"/>
          <w:szCs w:val="22"/>
        </w:rPr>
        <w:t xml:space="preserve"> </w:t>
      </w:r>
      <w:r w:rsidR="00B2702A">
        <w:rPr>
          <w:rFonts w:ascii="Georgia" w:hAnsi="Georgia"/>
          <w:sz w:val="22"/>
          <w:szCs w:val="22"/>
        </w:rPr>
        <w:t xml:space="preserve">cosponsors in </w:t>
      </w:r>
      <w:r w:rsidRPr="00EB57C1">
        <w:rPr>
          <w:rFonts w:ascii="Georgia" w:hAnsi="Georgia"/>
          <w:sz w:val="22"/>
          <w:szCs w:val="22"/>
        </w:rPr>
        <w:t>the House</w:t>
      </w:r>
      <w:r w:rsidR="00EB57C1" w:rsidRPr="00EB57C1">
        <w:rPr>
          <w:rFonts w:ascii="Georgia" w:hAnsi="Georgia"/>
          <w:sz w:val="22"/>
          <w:szCs w:val="22"/>
        </w:rPr>
        <w:t xml:space="preserve"> and 3</w:t>
      </w:r>
      <w:r w:rsidR="00F85AC3">
        <w:rPr>
          <w:rFonts w:ascii="Georgia" w:hAnsi="Georgia"/>
          <w:sz w:val="22"/>
          <w:szCs w:val="22"/>
        </w:rPr>
        <w:t>3</w:t>
      </w:r>
      <w:r w:rsidR="00EB57C1" w:rsidRPr="00EB57C1">
        <w:rPr>
          <w:rFonts w:ascii="Georgia" w:hAnsi="Georgia"/>
          <w:sz w:val="22"/>
          <w:szCs w:val="22"/>
        </w:rPr>
        <w:t xml:space="preserve"> </w:t>
      </w:r>
      <w:r w:rsidR="00B2702A">
        <w:rPr>
          <w:rFonts w:ascii="Georgia" w:hAnsi="Georgia"/>
          <w:sz w:val="22"/>
          <w:szCs w:val="22"/>
        </w:rPr>
        <w:t>in the Senate) –</w:t>
      </w:r>
      <w:r w:rsidRPr="00EB57C1">
        <w:rPr>
          <w:rFonts w:ascii="Georgia" w:hAnsi="Georgia"/>
          <w:sz w:val="22"/>
          <w:szCs w:val="22"/>
        </w:rPr>
        <w:t xml:space="preserve"> would</w:t>
      </w:r>
      <w:r w:rsidR="00B2702A">
        <w:rPr>
          <w:rFonts w:ascii="Georgia" w:hAnsi="Georgia"/>
          <w:sz w:val="22"/>
          <w:szCs w:val="22"/>
        </w:rPr>
        <w:t xml:space="preserve"> make </w:t>
      </w:r>
      <w:proofErr w:type="gramStart"/>
      <w:r w:rsidR="00B2702A">
        <w:rPr>
          <w:rFonts w:ascii="Georgia" w:hAnsi="Georgia"/>
          <w:sz w:val="22"/>
          <w:szCs w:val="22"/>
        </w:rPr>
        <w:t>a number of</w:t>
      </w:r>
      <w:proofErr w:type="gramEnd"/>
      <w:r w:rsidR="00B2702A">
        <w:rPr>
          <w:rFonts w:ascii="Georgia" w:hAnsi="Georgia"/>
          <w:sz w:val="22"/>
          <w:szCs w:val="22"/>
        </w:rPr>
        <w:t xml:space="preserve"> far-reaching reforms to the LIHTC.  A</w:t>
      </w:r>
      <w:r w:rsidRPr="00EB57C1">
        <w:rPr>
          <w:rFonts w:ascii="Georgia" w:hAnsi="Georgia"/>
          <w:sz w:val="22"/>
          <w:szCs w:val="22"/>
        </w:rPr>
        <w:t xml:space="preserve">mong other provisions, </w:t>
      </w:r>
      <w:r w:rsidR="00B2702A">
        <w:rPr>
          <w:rFonts w:ascii="Georgia" w:hAnsi="Georgia"/>
          <w:sz w:val="22"/>
          <w:szCs w:val="22"/>
        </w:rPr>
        <w:t xml:space="preserve">the bill would </w:t>
      </w:r>
      <w:r w:rsidRPr="00EB57C1">
        <w:rPr>
          <w:rFonts w:ascii="Georgia" w:hAnsi="Georgia"/>
          <w:sz w:val="22"/>
          <w:szCs w:val="22"/>
        </w:rPr>
        <w:t>make permanent the now-expired 12.5</w:t>
      </w:r>
      <w:r w:rsidR="00B2702A">
        <w:rPr>
          <w:rFonts w:ascii="Georgia" w:hAnsi="Georgia"/>
          <w:sz w:val="22"/>
          <w:szCs w:val="22"/>
        </w:rPr>
        <w:t>-</w:t>
      </w:r>
      <w:r w:rsidRPr="00EB57C1">
        <w:rPr>
          <w:rFonts w:ascii="Georgia" w:hAnsi="Georgia"/>
          <w:sz w:val="22"/>
          <w:szCs w:val="22"/>
        </w:rPr>
        <w:t xml:space="preserve">percent increase in LIHTC </w:t>
      </w:r>
      <w:r w:rsidR="00B2702A">
        <w:rPr>
          <w:rFonts w:ascii="Georgia" w:hAnsi="Georgia"/>
          <w:sz w:val="22"/>
          <w:szCs w:val="22"/>
        </w:rPr>
        <w:t xml:space="preserve">allocation </w:t>
      </w:r>
      <w:r w:rsidRPr="00EB57C1">
        <w:rPr>
          <w:rFonts w:ascii="Georgia" w:hAnsi="Georgia"/>
          <w:sz w:val="22"/>
          <w:szCs w:val="22"/>
        </w:rPr>
        <w:t xml:space="preserve">authority </w:t>
      </w:r>
      <w:r w:rsidR="00B2702A">
        <w:rPr>
          <w:rFonts w:ascii="Georgia" w:hAnsi="Georgia"/>
          <w:sz w:val="22"/>
          <w:szCs w:val="22"/>
        </w:rPr>
        <w:t xml:space="preserve">that applied between </w:t>
      </w:r>
      <w:r w:rsidRPr="00EB57C1">
        <w:rPr>
          <w:rFonts w:ascii="Georgia" w:hAnsi="Georgia"/>
          <w:sz w:val="22"/>
          <w:szCs w:val="22"/>
        </w:rPr>
        <w:t>2018</w:t>
      </w:r>
      <w:r w:rsidR="00B2702A">
        <w:rPr>
          <w:rFonts w:ascii="Georgia" w:hAnsi="Georgia"/>
          <w:sz w:val="22"/>
          <w:szCs w:val="22"/>
        </w:rPr>
        <w:t xml:space="preserve"> and </w:t>
      </w:r>
      <w:r w:rsidRPr="00EB57C1">
        <w:rPr>
          <w:rFonts w:ascii="Georgia" w:hAnsi="Georgia"/>
          <w:sz w:val="22"/>
          <w:szCs w:val="22"/>
        </w:rPr>
        <w:t>2021 to enable the production of new units and further augment credit authority by 50 percent. Additionally, the bill would lower the private activity bond financing threshold to 25 percent from 50 percent required to receive the full amount of 4</w:t>
      </w:r>
      <w:r w:rsidR="00B2702A">
        <w:rPr>
          <w:rFonts w:ascii="Georgia" w:hAnsi="Georgia"/>
          <w:sz w:val="22"/>
          <w:szCs w:val="22"/>
        </w:rPr>
        <w:t>-</w:t>
      </w:r>
      <w:r w:rsidRPr="00EB57C1">
        <w:rPr>
          <w:rFonts w:ascii="Georgia" w:hAnsi="Georgia"/>
          <w:sz w:val="22"/>
          <w:szCs w:val="22"/>
        </w:rPr>
        <w:t>percent LIHTC.</w:t>
      </w:r>
    </w:p>
    <w:p w14:paraId="6E3B84D7" w14:textId="77777777" w:rsidR="00CA7479" w:rsidRPr="00EB57C1" w:rsidRDefault="00CA7479" w:rsidP="00E83B70">
      <w:pPr>
        <w:ind w:left="-475" w:right="-187"/>
        <w:jc w:val="both"/>
        <w:rPr>
          <w:rFonts w:ascii="Georgia" w:hAnsi="Georgia"/>
          <w:sz w:val="22"/>
          <w:szCs w:val="22"/>
        </w:rPr>
      </w:pPr>
    </w:p>
    <w:p w14:paraId="7C640E55" w14:textId="244644C6" w:rsidR="002D1A63" w:rsidRPr="00EB57C1" w:rsidRDefault="00000000" w:rsidP="002D1A63">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Enacting the provisions in the </w:t>
      </w:r>
      <w:r w:rsidRPr="00EB57C1">
        <w:rPr>
          <w:rFonts w:ascii="Georgia" w:hAnsi="Georgia"/>
          <w:i/>
          <w:iCs/>
          <w:sz w:val="22"/>
          <w:szCs w:val="22"/>
        </w:rPr>
        <w:t xml:space="preserve">Affordable Housing Credit Improvement Act </w:t>
      </w:r>
      <w:r w:rsidR="00B2702A">
        <w:rPr>
          <w:rFonts w:ascii="Georgia" w:hAnsi="Georgia"/>
          <w:sz w:val="22"/>
          <w:szCs w:val="22"/>
        </w:rPr>
        <w:t xml:space="preserve">concerning </w:t>
      </w:r>
      <w:r w:rsidR="00B2702A" w:rsidRPr="00EB57C1">
        <w:rPr>
          <w:rFonts w:ascii="Georgia" w:hAnsi="Georgia"/>
          <w:sz w:val="22"/>
          <w:szCs w:val="22"/>
        </w:rPr>
        <w:t>primary unit financing</w:t>
      </w:r>
      <w:r w:rsidR="00B2702A">
        <w:rPr>
          <w:rFonts w:ascii="Georgia" w:hAnsi="Georgia"/>
          <w:sz w:val="22"/>
          <w:szCs w:val="22"/>
        </w:rPr>
        <w:t xml:space="preserve"> </w:t>
      </w:r>
      <w:r w:rsidRPr="00EB57C1">
        <w:rPr>
          <w:rFonts w:ascii="Georgia" w:hAnsi="Georgia"/>
          <w:sz w:val="22"/>
          <w:szCs w:val="22"/>
        </w:rPr>
        <w:t xml:space="preserve">could </w:t>
      </w:r>
      <w:r w:rsidR="00B2702A">
        <w:rPr>
          <w:rFonts w:ascii="Georgia" w:hAnsi="Georgia"/>
          <w:sz w:val="22"/>
          <w:szCs w:val="22"/>
        </w:rPr>
        <w:t xml:space="preserve">allow </w:t>
      </w:r>
      <w:r w:rsidRPr="00EB57C1">
        <w:rPr>
          <w:rFonts w:ascii="Georgia" w:hAnsi="Georgia"/>
          <w:sz w:val="22"/>
          <w:szCs w:val="22"/>
        </w:rPr>
        <w:t xml:space="preserve">up to 1.94 million </w:t>
      </w:r>
      <w:r w:rsidR="00B2702A">
        <w:rPr>
          <w:rFonts w:ascii="Georgia" w:hAnsi="Georgia"/>
          <w:sz w:val="22"/>
          <w:szCs w:val="22"/>
        </w:rPr>
        <w:t xml:space="preserve">additional </w:t>
      </w:r>
      <w:r w:rsidRPr="00EB57C1">
        <w:rPr>
          <w:rFonts w:ascii="Georgia" w:hAnsi="Georgia"/>
          <w:sz w:val="22"/>
          <w:szCs w:val="22"/>
        </w:rPr>
        <w:t xml:space="preserve">affordable units </w:t>
      </w:r>
      <w:r w:rsidR="00B2702A">
        <w:rPr>
          <w:rFonts w:ascii="Georgia" w:hAnsi="Georgia"/>
          <w:sz w:val="22"/>
          <w:szCs w:val="22"/>
        </w:rPr>
        <w:t xml:space="preserve">to be financed </w:t>
      </w:r>
      <w:r w:rsidRPr="00EB57C1">
        <w:rPr>
          <w:rFonts w:ascii="Georgia" w:hAnsi="Georgia"/>
          <w:sz w:val="22"/>
          <w:szCs w:val="22"/>
        </w:rPr>
        <w:t>over 10 years. Over that period, this enhanced financing could also support nearly three million jobs, $333 billion in wages and business income, and $115 billion in additional tax revenue.</w:t>
      </w:r>
      <w:r>
        <w:rPr>
          <w:rStyle w:val="FootnoteReference"/>
          <w:rFonts w:ascii="Georgia" w:hAnsi="Georgia"/>
          <w:sz w:val="22"/>
          <w:szCs w:val="22"/>
        </w:rPr>
        <w:footnoteReference w:id="8"/>
      </w:r>
      <w:r w:rsidRPr="00EB57C1">
        <w:rPr>
          <w:rFonts w:ascii="Georgia" w:hAnsi="Georgia"/>
          <w:sz w:val="22"/>
          <w:szCs w:val="22"/>
        </w:rPr>
        <w:t xml:space="preserve">  </w:t>
      </w:r>
    </w:p>
    <w:p w14:paraId="2586D82E" w14:textId="77777777" w:rsidR="002D1A63" w:rsidRDefault="002D1A63" w:rsidP="00253D91">
      <w:pPr>
        <w:pStyle w:val="NormalWeb"/>
        <w:spacing w:before="0" w:beforeAutospacing="0" w:after="0" w:afterAutospacing="0"/>
        <w:ind w:left="-475" w:right="-187"/>
        <w:jc w:val="both"/>
        <w:rPr>
          <w:rFonts w:ascii="Georgia" w:hAnsi="Georgia"/>
          <w:sz w:val="22"/>
          <w:szCs w:val="22"/>
        </w:rPr>
      </w:pPr>
    </w:p>
    <w:p w14:paraId="41201595" w14:textId="5DBFB1E7" w:rsidR="00CA7479" w:rsidRPr="00EB57C1" w:rsidRDefault="00000000" w:rsidP="00253D91">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We also strongly support </w:t>
      </w:r>
      <w:r w:rsidR="00C6288A">
        <w:rPr>
          <w:rFonts w:ascii="Georgia" w:hAnsi="Georgia"/>
          <w:sz w:val="22"/>
          <w:szCs w:val="22"/>
        </w:rPr>
        <w:t xml:space="preserve">the </w:t>
      </w:r>
      <w:r w:rsidRPr="00EB57C1">
        <w:rPr>
          <w:rFonts w:ascii="Georgia" w:hAnsi="Georgia"/>
          <w:sz w:val="22"/>
          <w:szCs w:val="22"/>
        </w:rPr>
        <w:t xml:space="preserve">LIHTC provisions </w:t>
      </w:r>
      <w:r w:rsidR="00C6288A">
        <w:rPr>
          <w:rFonts w:ascii="Georgia" w:hAnsi="Georgia"/>
          <w:sz w:val="22"/>
          <w:szCs w:val="22"/>
        </w:rPr>
        <w:t xml:space="preserve">included </w:t>
      </w:r>
      <w:r w:rsidRPr="00EB57C1">
        <w:rPr>
          <w:rFonts w:ascii="Georgia" w:hAnsi="Georgia"/>
          <w:sz w:val="22"/>
          <w:szCs w:val="22"/>
        </w:rPr>
        <w:t xml:space="preserve">in </w:t>
      </w:r>
      <w:r w:rsidR="00AB2BE4" w:rsidRPr="00EB57C1">
        <w:rPr>
          <w:rFonts w:ascii="Georgia" w:hAnsi="Georgia"/>
          <w:sz w:val="22"/>
          <w:szCs w:val="22"/>
        </w:rPr>
        <w:t>the</w:t>
      </w:r>
      <w:r w:rsidRPr="00EB57C1">
        <w:rPr>
          <w:rFonts w:ascii="Georgia" w:hAnsi="Georgia"/>
          <w:i/>
          <w:iCs/>
          <w:sz w:val="22"/>
          <w:szCs w:val="22"/>
        </w:rPr>
        <w:t xml:space="preserve"> Tax Relief for American Families and Workers Act of 2024</w:t>
      </w:r>
      <w:r w:rsidRPr="00EB57C1">
        <w:rPr>
          <w:rFonts w:ascii="Georgia" w:hAnsi="Georgia"/>
          <w:sz w:val="22"/>
          <w:szCs w:val="22"/>
        </w:rPr>
        <w:t xml:space="preserve"> (H.R. 7024), which the House approved </w:t>
      </w:r>
      <w:r w:rsidR="00EB57C1" w:rsidRPr="00EB57C1">
        <w:rPr>
          <w:rFonts w:ascii="Georgia" w:hAnsi="Georgia"/>
          <w:sz w:val="22"/>
          <w:szCs w:val="22"/>
        </w:rPr>
        <w:t xml:space="preserve">on January 31 </w:t>
      </w:r>
      <w:r w:rsidRPr="00EB57C1">
        <w:rPr>
          <w:rFonts w:ascii="Georgia" w:hAnsi="Georgia"/>
          <w:sz w:val="22"/>
          <w:szCs w:val="22"/>
        </w:rPr>
        <w:t xml:space="preserve">by a bipartisan </w:t>
      </w:r>
      <w:r w:rsidR="00207C75" w:rsidRPr="00EB57C1">
        <w:rPr>
          <w:rFonts w:ascii="Georgia" w:hAnsi="Georgia"/>
          <w:sz w:val="22"/>
          <w:szCs w:val="22"/>
        </w:rPr>
        <w:t>357-70</w:t>
      </w:r>
      <w:r w:rsidRPr="00EB57C1">
        <w:rPr>
          <w:rFonts w:ascii="Georgia" w:hAnsi="Georgia"/>
          <w:sz w:val="22"/>
          <w:szCs w:val="22"/>
        </w:rPr>
        <w:t xml:space="preserve"> vote. </w:t>
      </w:r>
      <w:proofErr w:type="gramStart"/>
      <w:r w:rsidR="00C6288A">
        <w:rPr>
          <w:rFonts w:ascii="Georgia" w:hAnsi="Georgia"/>
          <w:sz w:val="22"/>
          <w:szCs w:val="22"/>
        </w:rPr>
        <w:t>Similar to</w:t>
      </w:r>
      <w:proofErr w:type="gramEnd"/>
      <w:r w:rsidR="00C6288A">
        <w:rPr>
          <w:rFonts w:ascii="Georgia" w:hAnsi="Georgia"/>
          <w:sz w:val="22"/>
          <w:szCs w:val="22"/>
        </w:rPr>
        <w:t xml:space="preserve"> the </w:t>
      </w:r>
      <w:r w:rsidR="00C6288A" w:rsidRPr="0015088B">
        <w:rPr>
          <w:rFonts w:ascii="Georgia" w:hAnsi="Georgia"/>
          <w:i/>
          <w:iCs/>
          <w:sz w:val="22"/>
          <w:szCs w:val="22"/>
        </w:rPr>
        <w:t>Affordable Housing Credit Improvement Act</w:t>
      </w:r>
      <w:r w:rsidR="00C6288A">
        <w:rPr>
          <w:rFonts w:ascii="Georgia" w:hAnsi="Georgia"/>
          <w:sz w:val="22"/>
          <w:szCs w:val="22"/>
        </w:rPr>
        <w:t>, these p</w:t>
      </w:r>
      <w:r w:rsidRPr="00EB57C1">
        <w:rPr>
          <w:rFonts w:ascii="Georgia" w:hAnsi="Georgia"/>
          <w:sz w:val="22"/>
          <w:szCs w:val="22"/>
        </w:rPr>
        <w:t xml:space="preserve">rovisions would augment </w:t>
      </w:r>
      <w:r w:rsidR="002D1A63">
        <w:rPr>
          <w:rFonts w:ascii="Georgia" w:hAnsi="Georgia"/>
          <w:sz w:val="22"/>
          <w:szCs w:val="22"/>
        </w:rPr>
        <w:t>LIHTC</w:t>
      </w:r>
      <w:r w:rsidRPr="00EB57C1">
        <w:rPr>
          <w:rFonts w:ascii="Georgia" w:hAnsi="Georgia"/>
          <w:sz w:val="22"/>
          <w:szCs w:val="22"/>
        </w:rPr>
        <w:t xml:space="preserve"> authority by 12.5 percent between 2023 and 2025, as well as reduce the private activity bond financing threshold </w:t>
      </w:r>
      <w:r w:rsidR="00C6288A" w:rsidRPr="00EB57C1">
        <w:rPr>
          <w:rFonts w:ascii="Georgia" w:hAnsi="Georgia"/>
          <w:sz w:val="22"/>
          <w:szCs w:val="22"/>
        </w:rPr>
        <w:t xml:space="preserve">from 50 percent </w:t>
      </w:r>
      <w:r w:rsidRPr="00EB57C1">
        <w:rPr>
          <w:rFonts w:ascii="Georgia" w:hAnsi="Georgia"/>
          <w:sz w:val="22"/>
          <w:szCs w:val="22"/>
        </w:rPr>
        <w:t>to 30 percent in 2024 and 2025. These</w:t>
      </w:r>
      <w:r w:rsidR="00EE63B2" w:rsidRPr="00EB57C1">
        <w:rPr>
          <w:rFonts w:ascii="Georgia" w:hAnsi="Georgia"/>
          <w:sz w:val="22"/>
          <w:szCs w:val="22"/>
        </w:rPr>
        <w:t xml:space="preserve"> </w:t>
      </w:r>
      <w:r w:rsidRPr="00EB57C1">
        <w:rPr>
          <w:rFonts w:ascii="Georgia" w:hAnsi="Georgia"/>
          <w:sz w:val="22"/>
          <w:szCs w:val="22"/>
        </w:rPr>
        <w:t>provisions would create over 200,000 new multifamily units and represent a critical step toward addressing this nation’s affordable housing supply crisis.</w:t>
      </w:r>
      <w:r>
        <w:rPr>
          <w:rStyle w:val="FootnoteReference"/>
          <w:rFonts w:ascii="Georgia" w:hAnsi="Georgia"/>
          <w:sz w:val="22"/>
          <w:szCs w:val="22"/>
        </w:rPr>
        <w:footnoteReference w:id="9"/>
      </w:r>
    </w:p>
    <w:p w14:paraId="06E8C9CD" w14:textId="77777777" w:rsidR="00000E1C" w:rsidRPr="00EB57C1" w:rsidRDefault="00000E1C" w:rsidP="00E83B70">
      <w:pPr>
        <w:ind w:left="-475" w:right="-187"/>
        <w:jc w:val="both"/>
        <w:rPr>
          <w:rFonts w:ascii="Georgia" w:hAnsi="Georgia"/>
          <w:sz w:val="22"/>
          <w:szCs w:val="22"/>
        </w:rPr>
      </w:pPr>
    </w:p>
    <w:p w14:paraId="2B927AB1" w14:textId="3D2149C2"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lastRenderedPageBreak/>
        <w:t>Finally, we encourage Congress to consider increasing the private activity bond volume cap to enhance the utilization of 4</w:t>
      </w:r>
      <w:r w:rsidR="00C6288A">
        <w:rPr>
          <w:rFonts w:ascii="Georgia" w:hAnsi="Georgia"/>
          <w:sz w:val="22"/>
          <w:szCs w:val="22"/>
        </w:rPr>
        <w:t>-</w:t>
      </w:r>
      <w:r w:rsidRPr="00EB57C1">
        <w:rPr>
          <w:rFonts w:ascii="Georgia" w:hAnsi="Georgia"/>
          <w:sz w:val="22"/>
          <w:szCs w:val="22"/>
        </w:rPr>
        <w:t xml:space="preserve">percent LIHTC. According to </w:t>
      </w:r>
      <w:r w:rsidR="006F7682">
        <w:rPr>
          <w:rFonts w:ascii="Georgia" w:hAnsi="Georgia"/>
          <w:sz w:val="22"/>
          <w:szCs w:val="22"/>
        </w:rPr>
        <w:t>February 2024 data</w:t>
      </w:r>
      <w:r w:rsidRPr="00EB57C1">
        <w:rPr>
          <w:rFonts w:ascii="Georgia" w:hAnsi="Georgia"/>
          <w:sz w:val="22"/>
          <w:szCs w:val="22"/>
        </w:rPr>
        <w:t xml:space="preserve"> by Tiber Hudson and Novogradac, </w:t>
      </w:r>
      <w:r w:rsidR="006F7682">
        <w:rPr>
          <w:rFonts w:ascii="Georgia" w:hAnsi="Georgia"/>
          <w:sz w:val="22"/>
          <w:szCs w:val="22"/>
        </w:rPr>
        <w:t xml:space="preserve">20 </w:t>
      </w:r>
      <w:r w:rsidRPr="00EB57C1">
        <w:rPr>
          <w:rFonts w:ascii="Georgia" w:hAnsi="Georgia"/>
          <w:sz w:val="22"/>
          <w:szCs w:val="22"/>
        </w:rPr>
        <w:t>states and Washington, DC, are oversubscribed</w:t>
      </w:r>
      <w:r w:rsidR="00C6288A">
        <w:rPr>
          <w:rFonts w:ascii="Georgia" w:hAnsi="Georgia"/>
          <w:sz w:val="22"/>
          <w:szCs w:val="22"/>
        </w:rPr>
        <w:t xml:space="preserve"> for the credit</w:t>
      </w:r>
      <w:r w:rsidRPr="00EB57C1">
        <w:rPr>
          <w:rFonts w:ascii="Georgia" w:hAnsi="Georgia"/>
          <w:sz w:val="22"/>
          <w:szCs w:val="22"/>
        </w:rPr>
        <w:t>.</w:t>
      </w:r>
      <w:r w:rsidR="006F7682" w:rsidRPr="006F7682">
        <w:rPr>
          <w:rStyle w:val="FootnoteReference"/>
          <w:rFonts w:ascii="Georgia" w:hAnsi="Georgia"/>
          <w:sz w:val="22"/>
          <w:szCs w:val="22"/>
        </w:rPr>
        <w:t xml:space="preserve"> </w:t>
      </w:r>
      <w:r>
        <w:rPr>
          <w:rStyle w:val="FootnoteReference"/>
          <w:rFonts w:ascii="Georgia" w:hAnsi="Georgia"/>
          <w:sz w:val="22"/>
          <w:szCs w:val="22"/>
        </w:rPr>
        <w:footnoteReference w:id="10"/>
      </w:r>
      <w:r w:rsidRPr="00EB57C1">
        <w:rPr>
          <w:rFonts w:ascii="Georgia" w:hAnsi="Georgia"/>
          <w:sz w:val="22"/>
          <w:szCs w:val="22"/>
        </w:rPr>
        <w:t xml:space="preserve"> Authorizing these states to issue additional private activity bonds would enable the financing of additional 4</w:t>
      </w:r>
      <w:r w:rsidR="00C6288A">
        <w:rPr>
          <w:rFonts w:ascii="Georgia" w:hAnsi="Georgia"/>
          <w:sz w:val="22"/>
          <w:szCs w:val="22"/>
        </w:rPr>
        <w:t>-</w:t>
      </w:r>
      <w:r w:rsidRPr="00EB57C1">
        <w:rPr>
          <w:rFonts w:ascii="Georgia" w:hAnsi="Georgia"/>
          <w:sz w:val="22"/>
          <w:szCs w:val="22"/>
        </w:rPr>
        <w:t>percent LIHTC projects.</w:t>
      </w:r>
    </w:p>
    <w:p w14:paraId="2D799B23" w14:textId="77777777" w:rsidR="00A13D9F" w:rsidRPr="00EB57C1" w:rsidRDefault="00A13D9F" w:rsidP="00E83B70">
      <w:pPr>
        <w:ind w:left="-475" w:right="-187"/>
        <w:jc w:val="both"/>
        <w:rPr>
          <w:rFonts w:ascii="Georgia" w:hAnsi="Georgia"/>
          <w:b/>
          <w:bCs/>
          <w:i/>
          <w:iCs/>
          <w:sz w:val="22"/>
          <w:szCs w:val="22"/>
        </w:rPr>
      </w:pPr>
    </w:p>
    <w:p w14:paraId="2D416874" w14:textId="77777777" w:rsidR="00000E1C" w:rsidRPr="00EB57C1" w:rsidRDefault="00000000" w:rsidP="00E83B70">
      <w:pPr>
        <w:pStyle w:val="NormalWeb"/>
        <w:spacing w:before="0" w:beforeAutospacing="0" w:after="0" w:afterAutospacing="0"/>
        <w:ind w:left="-475" w:right="-187"/>
        <w:jc w:val="both"/>
        <w:rPr>
          <w:rFonts w:ascii="Georgia" w:hAnsi="Georgia"/>
          <w:b/>
          <w:bCs/>
          <w:i/>
          <w:iCs/>
          <w:sz w:val="22"/>
          <w:szCs w:val="22"/>
        </w:rPr>
      </w:pPr>
      <w:r w:rsidRPr="00EB57C1">
        <w:rPr>
          <w:rFonts w:ascii="Georgia" w:hAnsi="Georgia"/>
          <w:b/>
          <w:bCs/>
          <w:i/>
          <w:iCs/>
          <w:sz w:val="22"/>
          <w:szCs w:val="22"/>
        </w:rPr>
        <w:t xml:space="preserve">Enact the </w:t>
      </w:r>
      <w:r w:rsidR="00D12EA6" w:rsidRPr="00EB57C1">
        <w:rPr>
          <w:rFonts w:ascii="Georgia" w:hAnsi="Georgia"/>
          <w:b/>
          <w:bCs/>
          <w:i/>
          <w:iCs/>
          <w:sz w:val="22"/>
          <w:szCs w:val="22"/>
        </w:rPr>
        <w:t>B</w:t>
      </w:r>
      <w:r w:rsidRPr="00EB57C1">
        <w:rPr>
          <w:rFonts w:ascii="Georgia" w:hAnsi="Georgia"/>
          <w:b/>
          <w:bCs/>
          <w:i/>
          <w:iCs/>
          <w:sz w:val="22"/>
          <w:szCs w:val="22"/>
        </w:rPr>
        <w:t xml:space="preserve">ipartisan Workforce Housing Tax Credit Act </w:t>
      </w:r>
    </w:p>
    <w:p w14:paraId="415102B5" w14:textId="77777777" w:rsidR="00000E1C" w:rsidRPr="00EB57C1" w:rsidRDefault="00000E1C" w:rsidP="00E83B70">
      <w:pPr>
        <w:ind w:left="-475" w:right="-187"/>
        <w:jc w:val="both"/>
        <w:rPr>
          <w:rFonts w:ascii="Georgia" w:hAnsi="Georgia"/>
          <w:b/>
          <w:bCs/>
          <w:i/>
          <w:iCs/>
          <w:sz w:val="22"/>
          <w:szCs w:val="22"/>
        </w:rPr>
      </w:pPr>
    </w:p>
    <w:p w14:paraId="5BE1A80D" w14:textId="7843D50F"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Housing affordability is an issue threatening the financial wellbeing of both middle-income and low-income households across the nation. According to the U.S. Census Bureau’s Survey of Market Absorption, the median asking rent for apartment units completed in the </w:t>
      </w:r>
      <w:r w:rsidR="10183DF7" w:rsidRPr="00EB57C1">
        <w:rPr>
          <w:rFonts w:ascii="Georgia" w:hAnsi="Georgia"/>
          <w:sz w:val="22"/>
          <w:szCs w:val="22"/>
        </w:rPr>
        <w:t>third</w:t>
      </w:r>
      <w:r w:rsidR="6B9BECF3" w:rsidRPr="00EB57C1">
        <w:rPr>
          <w:rFonts w:ascii="Georgia" w:hAnsi="Georgia"/>
          <w:sz w:val="22"/>
          <w:szCs w:val="22"/>
        </w:rPr>
        <w:t xml:space="preserve"> quarter</w:t>
      </w:r>
      <w:r w:rsidRPr="00EB57C1">
        <w:rPr>
          <w:rFonts w:ascii="Georgia" w:hAnsi="Georgia"/>
          <w:sz w:val="22"/>
          <w:szCs w:val="22"/>
        </w:rPr>
        <w:t xml:space="preserve"> of 2023 was $1,</w:t>
      </w:r>
      <w:r w:rsidR="634E6957" w:rsidRPr="00EB57C1">
        <w:rPr>
          <w:rFonts w:ascii="Georgia" w:hAnsi="Georgia"/>
          <w:sz w:val="22"/>
          <w:szCs w:val="22"/>
        </w:rPr>
        <w:t>833</w:t>
      </w:r>
      <w:r w:rsidRPr="00EB57C1">
        <w:rPr>
          <w:rFonts w:ascii="Georgia" w:hAnsi="Georgia"/>
          <w:sz w:val="22"/>
          <w:szCs w:val="22"/>
        </w:rPr>
        <w:t xml:space="preserve">, a </w:t>
      </w:r>
      <w:r w:rsidR="228B647C" w:rsidRPr="00EB57C1">
        <w:rPr>
          <w:rFonts w:ascii="Georgia" w:hAnsi="Georgia"/>
          <w:sz w:val="22"/>
          <w:szCs w:val="22"/>
        </w:rPr>
        <w:t>12.23</w:t>
      </w:r>
      <w:r w:rsidR="00C6288A">
        <w:rPr>
          <w:rFonts w:ascii="Georgia" w:hAnsi="Georgia"/>
          <w:sz w:val="22"/>
          <w:szCs w:val="22"/>
        </w:rPr>
        <w:t>-</w:t>
      </w:r>
      <w:r w:rsidRPr="00EB57C1">
        <w:rPr>
          <w:rFonts w:ascii="Georgia" w:hAnsi="Georgia"/>
          <w:sz w:val="22"/>
          <w:szCs w:val="22"/>
        </w:rPr>
        <w:t>percent increase from the same period in 2018.</w:t>
      </w:r>
      <w:r>
        <w:rPr>
          <w:rStyle w:val="FootnoteReference"/>
          <w:rFonts w:ascii="Georgia" w:hAnsi="Georgia"/>
          <w:sz w:val="22"/>
          <w:szCs w:val="22"/>
        </w:rPr>
        <w:footnoteReference w:id="11"/>
      </w:r>
      <w:r w:rsidRPr="00EB57C1">
        <w:rPr>
          <w:rFonts w:ascii="Georgia" w:hAnsi="Georgia"/>
          <w:sz w:val="22"/>
          <w:szCs w:val="22"/>
        </w:rPr>
        <w:t xml:space="preserve"> For a renter to afford one of those units at the 30</w:t>
      </w:r>
      <w:r w:rsidR="00C6288A">
        <w:rPr>
          <w:rFonts w:ascii="Georgia" w:hAnsi="Georgia"/>
          <w:sz w:val="22"/>
          <w:szCs w:val="22"/>
        </w:rPr>
        <w:t>-</w:t>
      </w:r>
      <w:r w:rsidRPr="00EB57C1">
        <w:rPr>
          <w:rFonts w:ascii="Georgia" w:hAnsi="Georgia"/>
          <w:sz w:val="22"/>
          <w:szCs w:val="22"/>
        </w:rPr>
        <w:t>percent</w:t>
      </w:r>
      <w:r w:rsidR="00C6288A">
        <w:rPr>
          <w:rFonts w:ascii="Georgia" w:hAnsi="Georgia"/>
          <w:sz w:val="22"/>
          <w:szCs w:val="22"/>
        </w:rPr>
        <w:t>-</w:t>
      </w:r>
      <w:r w:rsidRPr="00EB57C1">
        <w:rPr>
          <w:rFonts w:ascii="Georgia" w:hAnsi="Georgia"/>
          <w:sz w:val="22"/>
          <w:szCs w:val="22"/>
        </w:rPr>
        <w:t>of</w:t>
      </w:r>
      <w:r w:rsidR="00C6288A">
        <w:rPr>
          <w:rFonts w:ascii="Georgia" w:hAnsi="Georgia"/>
          <w:sz w:val="22"/>
          <w:szCs w:val="22"/>
        </w:rPr>
        <w:t>-</w:t>
      </w:r>
      <w:r w:rsidRPr="00EB57C1">
        <w:rPr>
          <w:rFonts w:ascii="Georgia" w:hAnsi="Georgia"/>
          <w:sz w:val="22"/>
          <w:szCs w:val="22"/>
        </w:rPr>
        <w:t xml:space="preserve">income standard, </w:t>
      </w:r>
      <w:r w:rsidR="00C6288A">
        <w:rPr>
          <w:rFonts w:ascii="Georgia" w:hAnsi="Georgia"/>
          <w:sz w:val="22"/>
          <w:szCs w:val="22"/>
        </w:rPr>
        <w:t>the renter</w:t>
      </w:r>
      <w:r w:rsidR="00C6288A" w:rsidRPr="00EB57C1">
        <w:rPr>
          <w:rFonts w:ascii="Georgia" w:hAnsi="Georgia"/>
          <w:sz w:val="22"/>
          <w:szCs w:val="22"/>
        </w:rPr>
        <w:t xml:space="preserve"> </w:t>
      </w:r>
      <w:r w:rsidRPr="00EB57C1">
        <w:rPr>
          <w:rFonts w:ascii="Georgia" w:hAnsi="Georgia"/>
          <w:sz w:val="22"/>
          <w:szCs w:val="22"/>
        </w:rPr>
        <w:t>would need to earn at least $7</w:t>
      </w:r>
      <w:r w:rsidR="3561F693" w:rsidRPr="00EB57C1">
        <w:rPr>
          <w:rFonts w:ascii="Georgia" w:hAnsi="Georgia"/>
          <w:sz w:val="22"/>
          <w:szCs w:val="22"/>
        </w:rPr>
        <w:t>3</w:t>
      </w:r>
      <w:r w:rsidRPr="00EB57C1">
        <w:rPr>
          <w:rFonts w:ascii="Georgia" w:hAnsi="Georgia"/>
          <w:sz w:val="22"/>
          <w:szCs w:val="22"/>
        </w:rPr>
        <w:t>,</w:t>
      </w:r>
      <w:r w:rsidR="38E79B8D" w:rsidRPr="00EB57C1">
        <w:rPr>
          <w:rFonts w:ascii="Georgia" w:hAnsi="Georgia"/>
          <w:sz w:val="22"/>
          <w:szCs w:val="22"/>
        </w:rPr>
        <w:t>3</w:t>
      </w:r>
      <w:r w:rsidRPr="00EB57C1">
        <w:rPr>
          <w:rFonts w:ascii="Georgia" w:hAnsi="Georgia"/>
          <w:sz w:val="22"/>
          <w:szCs w:val="22"/>
        </w:rPr>
        <w:t>20 annually.</w:t>
      </w:r>
    </w:p>
    <w:p w14:paraId="7AF8F3CE" w14:textId="77777777" w:rsidR="00000E1C" w:rsidRPr="00EB57C1" w:rsidRDefault="00000E1C" w:rsidP="00E83B70">
      <w:pPr>
        <w:ind w:left="-475" w:right="-187"/>
        <w:jc w:val="both"/>
        <w:rPr>
          <w:rFonts w:ascii="Georgia" w:hAnsi="Georgia"/>
          <w:sz w:val="22"/>
          <w:szCs w:val="22"/>
        </w:rPr>
      </w:pPr>
    </w:p>
    <w:p w14:paraId="3BAE140E" w14:textId="64E46B92" w:rsidR="00000E1C" w:rsidRPr="00EB57C1" w:rsidRDefault="00000000" w:rsidP="00E83B70">
      <w:pPr>
        <w:pStyle w:val="NormalWeb"/>
        <w:spacing w:before="0" w:beforeAutospacing="0" w:after="0" w:afterAutospacing="0"/>
        <w:ind w:left="-475" w:right="-187"/>
        <w:jc w:val="both"/>
        <w:rPr>
          <w:rFonts w:ascii="Georgia" w:eastAsia="Georgia" w:hAnsi="Georgia" w:cs="Georgia"/>
          <w:sz w:val="22"/>
          <w:szCs w:val="22"/>
        </w:rPr>
      </w:pPr>
      <w:r w:rsidRPr="00EB57C1">
        <w:rPr>
          <w:rFonts w:ascii="Georgia" w:eastAsia="Georgia" w:hAnsi="Georgia" w:cs="Georgia"/>
          <w:sz w:val="22"/>
          <w:szCs w:val="22"/>
        </w:rPr>
        <w:t xml:space="preserve">Furthermore, </w:t>
      </w:r>
      <w:r w:rsidRPr="00EB57C1">
        <w:rPr>
          <w:rFonts w:ascii="Georgia" w:hAnsi="Georgia"/>
          <w:sz w:val="22"/>
          <w:szCs w:val="22"/>
        </w:rPr>
        <w:t>Harvard</w:t>
      </w:r>
      <w:r w:rsidRPr="00EB57C1">
        <w:rPr>
          <w:rFonts w:ascii="Georgia" w:eastAsia="Georgia" w:hAnsi="Georgia" w:cs="Georgia"/>
          <w:sz w:val="22"/>
          <w:szCs w:val="22"/>
        </w:rPr>
        <w:t xml:space="preserve"> University’s Joint Center for Housing for Housing Studies reported in January 2024 that “</w:t>
      </w:r>
      <w:r w:rsidR="00C6288A">
        <w:rPr>
          <w:rFonts w:ascii="Georgia" w:eastAsia="Georgia" w:hAnsi="Georgia" w:cs="Georgia"/>
          <w:sz w:val="22"/>
          <w:szCs w:val="22"/>
        </w:rPr>
        <w:t>[r]</w:t>
      </w:r>
      <w:r w:rsidRPr="00EB57C1">
        <w:rPr>
          <w:rFonts w:ascii="Georgia" w:eastAsia="Georgia" w:hAnsi="Georgia" w:cs="Georgia"/>
          <w:sz w:val="22"/>
          <w:szCs w:val="22"/>
        </w:rPr>
        <w:t>enter households with annual incomes of $45,000 to $74,000 have seen the fastest growth in their burden rates, both over the longer term and during the pandemic. Indeed, 41 percent of renter households in this income category were burdened in 2022, a 5.4 percentage point increase since the start of the pandemic, nearly doubling their 2001 rate.”</w:t>
      </w:r>
      <w:r>
        <w:rPr>
          <w:rStyle w:val="FootnoteReference"/>
          <w:rFonts w:ascii="Georgia" w:hAnsi="Georgia"/>
          <w:sz w:val="22"/>
          <w:szCs w:val="22"/>
        </w:rPr>
        <w:footnoteReference w:id="12"/>
      </w:r>
    </w:p>
    <w:p w14:paraId="20443E6C" w14:textId="77777777" w:rsidR="00000E1C" w:rsidRPr="00EB57C1" w:rsidRDefault="00000E1C" w:rsidP="00E83B70">
      <w:pPr>
        <w:ind w:left="-475" w:right="-187"/>
        <w:jc w:val="both"/>
        <w:rPr>
          <w:rFonts w:ascii="Georgia" w:hAnsi="Georgia"/>
          <w:sz w:val="22"/>
          <w:szCs w:val="22"/>
        </w:rPr>
      </w:pPr>
    </w:p>
    <w:p w14:paraId="751B66D6" w14:textId="507F5EB9"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Accordingly, </w:t>
      </w:r>
      <w:r w:rsidR="00C6288A">
        <w:rPr>
          <w:rFonts w:ascii="Georgia" w:hAnsi="Georgia"/>
          <w:sz w:val="22"/>
          <w:szCs w:val="22"/>
        </w:rPr>
        <w:t xml:space="preserve">affordable housing </w:t>
      </w:r>
      <w:r w:rsidRPr="00EB57C1">
        <w:rPr>
          <w:rFonts w:ascii="Georgia" w:hAnsi="Georgia"/>
          <w:sz w:val="22"/>
          <w:szCs w:val="22"/>
        </w:rPr>
        <w:t xml:space="preserve">is an issue </w:t>
      </w:r>
      <w:r w:rsidR="00034B7F">
        <w:rPr>
          <w:rFonts w:ascii="Georgia" w:hAnsi="Georgia"/>
          <w:sz w:val="22"/>
          <w:szCs w:val="22"/>
        </w:rPr>
        <w:t>affecting</w:t>
      </w:r>
      <w:r w:rsidR="00034B7F" w:rsidRPr="00EB57C1">
        <w:rPr>
          <w:rFonts w:ascii="Georgia" w:hAnsi="Georgia"/>
          <w:sz w:val="22"/>
          <w:szCs w:val="22"/>
        </w:rPr>
        <w:t xml:space="preserve"> </w:t>
      </w:r>
      <w:r w:rsidRPr="00EB57C1">
        <w:rPr>
          <w:rFonts w:ascii="Georgia" w:hAnsi="Georgia"/>
          <w:sz w:val="22"/>
          <w:szCs w:val="22"/>
        </w:rPr>
        <w:t xml:space="preserve">those workers who comprise the very fabric of strong </w:t>
      </w:r>
      <w:r w:rsidRPr="00EB57C1">
        <w:rPr>
          <w:rFonts w:ascii="Georgia" w:eastAsia="Georgia" w:hAnsi="Georgia" w:cs="Georgia"/>
          <w:sz w:val="22"/>
          <w:szCs w:val="22"/>
        </w:rPr>
        <w:t>communities</w:t>
      </w:r>
      <w:r w:rsidRPr="00EB57C1">
        <w:rPr>
          <w:rFonts w:ascii="Georgia" w:hAnsi="Georgia"/>
          <w:sz w:val="22"/>
          <w:szCs w:val="22"/>
        </w:rPr>
        <w:t xml:space="preserve"> nationwide, including teachers, firefighters, nurses, and police officers whose wages are not keeping pace with </w:t>
      </w:r>
      <w:r w:rsidR="00C6288A">
        <w:rPr>
          <w:rFonts w:ascii="Georgia" w:hAnsi="Georgia"/>
          <w:sz w:val="22"/>
          <w:szCs w:val="22"/>
        </w:rPr>
        <w:t xml:space="preserve">housing </w:t>
      </w:r>
      <w:r w:rsidRPr="00EB57C1">
        <w:rPr>
          <w:rFonts w:ascii="Georgia" w:hAnsi="Georgia"/>
          <w:sz w:val="22"/>
          <w:szCs w:val="22"/>
        </w:rPr>
        <w:t xml:space="preserve">costs. Tax policies to spur the production of multifamily housing targeted to middle-income Americans should be part of any legislation that seeks to address housing affordability on a comprehensive basis. </w:t>
      </w:r>
    </w:p>
    <w:p w14:paraId="37450306" w14:textId="77777777" w:rsidR="00000E1C" w:rsidRPr="00EB57C1" w:rsidRDefault="00000E1C" w:rsidP="00E83B70">
      <w:pPr>
        <w:ind w:left="-475" w:right="-187"/>
        <w:jc w:val="both"/>
        <w:rPr>
          <w:rFonts w:ascii="Georgia" w:hAnsi="Georgia"/>
          <w:sz w:val="22"/>
          <w:szCs w:val="22"/>
        </w:rPr>
      </w:pPr>
    </w:p>
    <w:p w14:paraId="6D91CA94" w14:textId="77777777"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We urge Congress to enact the bipartisan </w:t>
      </w:r>
      <w:r w:rsidR="00CB23B9">
        <w:rPr>
          <w:rFonts w:ascii="Georgia" w:hAnsi="Georgia"/>
          <w:sz w:val="22"/>
          <w:szCs w:val="22"/>
        </w:rPr>
        <w:t xml:space="preserve">and bicameral </w:t>
      </w:r>
      <w:r w:rsidRPr="00EB57C1">
        <w:rPr>
          <w:rFonts w:ascii="Georgia" w:hAnsi="Georgia"/>
          <w:i/>
          <w:iCs/>
          <w:sz w:val="22"/>
          <w:szCs w:val="22"/>
        </w:rPr>
        <w:t>Workforce Housing Tax Credit Act</w:t>
      </w:r>
      <w:r w:rsidR="00CB23B9">
        <w:rPr>
          <w:rFonts w:ascii="Georgia" w:hAnsi="Georgia"/>
          <w:sz w:val="22"/>
          <w:szCs w:val="22"/>
        </w:rPr>
        <w:t xml:space="preserve"> (H.R. 6686 / S. 3436)</w:t>
      </w:r>
      <w:r w:rsidRPr="00EB57C1">
        <w:rPr>
          <w:rFonts w:ascii="Georgia" w:hAnsi="Georgia"/>
          <w:sz w:val="22"/>
          <w:szCs w:val="22"/>
        </w:rPr>
        <w:t xml:space="preserve">, sponsored </w:t>
      </w:r>
      <w:r w:rsidR="005C2C62">
        <w:rPr>
          <w:rFonts w:ascii="Georgia" w:hAnsi="Georgia"/>
          <w:sz w:val="22"/>
          <w:szCs w:val="22"/>
        </w:rPr>
        <w:t xml:space="preserve">by </w:t>
      </w:r>
      <w:r w:rsidRPr="00EB57C1">
        <w:rPr>
          <w:rFonts w:ascii="Georgia" w:hAnsi="Georgia"/>
          <w:sz w:val="22"/>
          <w:szCs w:val="22"/>
        </w:rPr>
        <w:t>Rep</w:t>
      </w:r>
      <w:r w:rsidR="00CB23B9">
        <w:rPr>
          <w:rFonts w:ascii="Georgia" w:hAnsi="Georgia"/>
          <w:sz w:val="22"/>
          <w:szCs w:val="22"/>
        </w:rPr>
        <w:t>resentatives</w:t>
      </w:r>
      <w:r w:rsidRPr="00EB57C1">
        <w:rPr>
          <w:rFonts w:ascii="Georgia" w:hAnsi="Georgia"/>
          <w:sz w:val="22"/>
          <w:szCs w:val="22"/>
        </w:rPr>
        <w:t xml:space="preserve"> Panetta and Carey</w:t>
      </w:r>
      <w:r w:rsidR="00CB23B9">
        <w:rPr>
          <w:rFonts w:ascii="Georgia" w:hAnsi="Georgia"/>
          <w:sz w:val="22"/>
          <w:szCs w:val="22"/>
        </w:rPr>
        <w:t xml:space="preserve"> and Senators Wyden and </w:t>
      </w:r>
      <w:r w:rsidR="00552215">
        <w:rPr>
          <w:rFonts w:ascii="Georgia" w:hAnsi="Georgia"/>
          <w:sz w:val="22"/>
          <w:szCs w:val="22"/>
        </w:rPr>
        <w:t>Sullivan</w:t>
      </w:r>
      <w:r w:rsidR="00552215" w:rsidRPr="00EB57C1">
        <w:rPr>
          <w:rFonts w:ascii="Georgia" w:hAnsi="Georgia"/>
          <w:sz w:val="22"/>
          <w:szCs w:val="22"/>
        </w:rPr>
        <w:t>.</w:t>
      </w:r>
      <w:r w:rsidRPr="00EB57C1">
        <w:rPr>
          <w:rFonts w:ascii="Georgia" w:hAnsi="Georgia"/>
          <w:sz w:val="22"/>
          <w:szCs w:val="22"/>
        </w:rPr>
        <w:t xml:space="preserve"> This legislation establishes a new tax credit to produce affordable rental housing for households earning 100</w:t>
      </w:r>
      <w:r w:rsidR="00792AF1" w:rsidRPr="00EB57C1">
        <w:rPr>
          <w:rFonts w:ascii="Georgia" w:hAnsi="Georgia"/>
          <w:sz w:val="22"/>
          <w:szCs w:val="22"/>
        </w:rPr>
        <w:t xml:space="preserve"> percent</w:t>
      </w:r>
      <w:r w:rsidRPr="00EB57C1">
        <w:rPr>
          <w:rFonts w:ascii="Georgia" w:hAnsi="Georgia"/>
          <w:sz w:val="22"/>
          <w:szCs w:val="22"/>
        </w:rPr>
        <w:t xml:space="preserve"> or less of the area median income (AMI). </w:t>
      </w:r>
      <w:bookmarkStart w:id="4" w:name="_Hlk156047745"/>
    </w:p>
    <w:p w14:paraId="0D1581F6" w14:textId="77777777" w:rsidR="00000E1C" w:rsidRPr="00EB57C1" w:rsidRDefault="00000E1C" w:rsidP="00E83B70">
      <w:pPr>
        <w:ind w:left="-475" w:right="-187"/>
        <w:jc w:val="both"/>
        <w:rPr>
          <w:rFonts w:ascii="Georgia" w:hAnsi="Georgia"/>
          <w:sz w:val="22"/>
          <w:szCs w:val="22"/>
        </w:rPr>
      </w:pPr>
    </w:p>
    <w:bookmarkEnd w:id="4"/>
    <w:p w14:paraId="0D2766F4" w14:textId="7F965E00" w:rsidR="00000E1C" w:rsidRPr="00EB57C1" w:rsidRDefault="00000000" w:rsidP="00E83B70">
      <w:pPr>
        <w:pStyle w:val="NormalWeb"/>
        <w:spacing w:before="0" w:beforeAutospacing="0" w:after="0" w:afterAutospacing="0"/>
        <w:ind w:left="-475" w:right="-187"/>
        <w:jc w:val="both"/>
        <w:rPr>
          <w:rFonts w:ascii="Georgia" w:hAnsi="Georgia" w:cs="Arial"/>
          <w:color w:val="333333"/>
          <w:sz w:val="22"/>
          <w:szCs w:val="22"/>
        </w:rPr>
      </w:pPr>
      <w:r w:rsidRPr="00EB57C1">
        <w:rPr>
          <w:rFonts w:ascii="Georgia" w:hAnsi="Georgia"/>
          <w:sz w:val="22"/>
          <w:szCs w:val="22"/>
        </w:rPr>
        <w:t xml:space="preserve">Designed to complement the successful LIHTC, </w:t>
      </w:r>
      <w:r w:rsidRPr="00EB57C1">
        <w:rPr>
          <w:rFonts w:ascii="Georgia" w:hAnsi="Georgia" w:cs="Arial"/>
          <w:color w:val="333333"/>
          <w:sz w:val="22"/>
          <w:szCs w:val="22"/>
          <w:shd w:val="clear" w:color="auto" w:fill="FFFFFF"/>
        </w:rPr>
        <w:t xml:space="preserve">the WFHTC would enable state housing agencies to issue credit allocations to developers that would subsequently be sold to investors. Investors would receive a dollar-for-dollar reduction in their federal tax liability over a 15-year period, and developers would invest the equity raised to build </w:t>
      </w:r>
      <w:r w:rsidR="0077577C">
        <w:rPr>
          <w:rFonts w:ascii="Georgia" w:hAnsi="Georgia" w:cs="Arial"/>
          <w:color w:val="333333"/>
          <w:sz w:val="22"/>
          <w:szCs w:val="22"/>
          <w:shd w:val="clear" w:color="auto" w:fill="FFFFFF"/>
        </w:rPr>
        <w:t xml:space="preserve">qualifying affordable </w:t>
      </w:r>
      <w:r w:rsidRPr="00EB57C1">
        <w:rPr>
          <w:rFonts w:ascii="Georgia" w:hAnsi="Georgia" w:cs="Arial"/>
          <w:color w:val="333333"/>
          <w:sz w:val="22"/>
          <w:szCs w:val="22"/>
          <w:shd w:val="clear" w:color="auto" w:fill="FFFFFF"/>
        </w:rPr>
        <w:t>apartments. The equity raised would cover 50 percent of the cost of constructing qualifying units. A development project eligible for WFHTC would have to set aside 60 percent of units for households earning 100 percent or less of AMI and must be kept affordable for up to 30 years.</w:t>
      </w:r>
    </w:p>
    <w:p w14:paraId="3BA5550A" w14:textId="77777777" w:rsidR="00A13D9F" w:rsidRPr="00EB57C1" w:rsidRDefault="00A13D9F" w:rsidP="00E83B70">
      <w:pPr>
        <w:ind w:left="-475" w:right="-187"/>
        <w:jc w:val="both"/>
        <w:rPr>
          <w:rFonts w:ascii="Georgia" w:hAnsi="Georgia"/>
          <w:sz w:val="22"/>
          <w:szCs w:val="22"/>
        </w:rPr>
      </w:pPr>
    </w:p>
    <w:p w14:paraId="26C26E03" w14:textId="77777777" w:rsidR="006A262C" w:rsidRDefault="006A262C" w:rsidP="00767911">
      <w:pPr>
        <w:pStyle w:val="NormalWeb"/>
        <w:spacing w:before="0" w:beforeAutospacing="0" w:after="0" w:afterAutospacing="0"/>
        <w:ind w:left="-475" w:right="-187"/>
        <w:jc w:val="both"/>
        <w:rPr>
          <w:rFonts w:ascii="Georgia" w:hAnsi="Georgia"/>
          <w:b/>
          <w:bCs/>
          <w:i/>
          <w:iCs/>
          <w:sz w:val="22"/>
          <w:szCs w:val="22"/>
        </w:rPr>
      </w:pPr>
    </w:p>
    <w:p w14:paraId="6F3D8EE7" w14:textId="77777777" w:rsidR="006A262C" w:rsidRDefault="006A262C" w:rsidP="00767911">
      <w:pPr>
        <w:pStyle w:val="NormalWeb"/>
        <w:spacing w:before="0" w:beforeAutospacing="0" w:after="0" w:afterAutospacing="0"/>
        <w:ind w:left="-475" w:right="-187"/>
        <w:jc w:val="both"/>
        <w:rPr>
          <w:rFonts w:ascii="Georgia" w:hAnsi="Georgia"/>
          <w:b/>
          <w:bCs/>
          <w:i/>
          <w:iCs/>
          <w:sz w:val="22"/>
          <w:szCs w:val="22"/>
        </w:rPr>
      </w:pPr>
    </w:p>
    <w:p w14:paraId="48D3F162" w14:textId="77777777" w:rsidR="006A262C" w:rsidRDefault="006A262C" w:rsidP="00767911">
      <w:pPr>
        <w:pStyle w:val="NormalWeb"/>
        <w:spacing w:before="0" w:beforeAutospacing="0" w:after="0" w:afterAutospacing="0"/>
        <w:ind w:left="-475" w:right="-187"/>
        <w:jc w:val="both"/>
        <w:rPr>
          <w:rFonts w:ascii="Georgia" w:hAnsi="Georgia"/>
          <w:b/>
          <w:bCs/>
          <w:i/>
          <w:iCs/>
          <w:sz w:val="22"/>
          <w:szCs w:val="22"/>
        </w:rPr>
      </w:pPr>
    </w:p>
    <w:p w14:paraId="50BC3587" w14:textId="27A039BE" w:rsidR="00767911" w:rsidRDefault="00000000" w:rsidP="00767911">
      <w:pPr>
        <w:pStyle w:val="NormalWeb"/>
        <w:spacing w:before="0" w:beforeAutospacing="0" w:after="0" w:afterAutospacing="0"/>
        <w:ind w:left="-475" w:right="-187"/>
        <w:jc w:val="both"/>
        <w:rPr>
          <w:rFonts w:ascii="Georgia" w:hAnsi="Georgia"/>
          <w:b/>
          <w:bCs/>
          <w:i/>
          <w:iCs/>
          <w:sz w:val="22"/>
          <w:szCs w:val="22"/>
        </w:rPr>
      </w:pPr>
      <w:r w:rsidRPr="00EB57C1">
        <w:rPr>
          <w:rFonts w:ascii="Georgia" w:hAnsi="Georgia"/>
          <w:b/>
          <w:bCs/>
          <w:i/>
          <w:iCs/>
          <w:sz w:val="22"/>
          <w:szCs w:val="22"/>
        </w:rPr>
        <w:lastRenderedPageBreak/>
        <w:t>Enhanc</w:t>
      </w:r>
      <w:r w:rsidR="00523482">
        <w:rPr>
          <w:rFonts w:ascii="Georgia" w:hAnsi="Georgia"/>
          <w:b/>
          <w:bCs/>
          <w:i/>
          <w:iCs/>
          <w:sz w:val="22"/>
          <w:szCs w:val="22"/>
        </w:rPr>
        <w:t>e</w:t>
      </w:r>
      <w:r w:rsidRPr="00EB57C1">
        <w:rPr>
          <w:rFonts w:ascii="Georgia" w:hAnsi="Georgia"/>
          <w:b/>
          <w:bCs/>
          <w:i/>
          <w:iCs/>
          <w:sz w:val="22"/>
          <w:szCs w:val="22"/>
        </w:rPr>
        <w:t xml:space="preserve"> Opportunity Zones to Incentivize Rehabilitation of Housing Units</w:t>
      </w:r>
    </w:p>
    <w:p w14:paraId="5F5E4E2A" w14:textId="77777777" w:rsidR="00767911" w:rsidRDefault="00767911" w:rsidP="00767911">
      <w:pPr>
        <w:pStyle w:val="NormalWeb"/>
        <w:spacing w:before="0" w:beforeAutospacing="0" w:after="0" w:afterAutospacing="0"/>
        <w:ind w:left="-475" w:right="-187"/>
        <w:jc w:val="both"/>
        <w:rPr>
          <w:rFonts w:ascii="Georgia" w:hAnsi="Georgia"/>
          <w:b/>
          <w:bCs/>
          <w:i/>
          <w:iCs/>
          <w:sz w:val="22"/>
          <w:szCs w:val="22"/>
        </w:rPr>
      </w:pPr>
    </w:p>
    <w:p w14:paraId="3FE97E18" w14:textId="39BAA3F3" w:rsidR="00767911" w:rsidRPr="0072637D" w:rsidRDefault="00000000" w:rsidP="0072637D">
      <w:pPr>
        <w:pStyle w:val="NormalWeb"/>
        <w:spacing w:before="0" w:beforeAutospacing="0" w:after="0" w:afterAutospacing="0"/>
        <w:ind w:left="-475" w:right="-187"/>
        <w:jc w:val="both"/>
        <w:rPr>
          <w:rFonts w:ascii="Georgia" w:hAnsi="Georgia" w:cs="Arial"/>
          <w:color w:val="333333"/>
          <w:sz w:val="22"/>
          <w:szCs w:val="22"/>
          <w:shd w:val="clear" w:color="auto" w:fill="FFFFFF"/>
        </w:rPr>
      </w:pPr>
      <w:r w:rsidRPr="0072637D">
        <w:rPr>
          <w:rFonts w:ascii="Georgia" w:hAnsi="Georgia" w:cs="Arial"/>
          <w:color w:val="333333"/>
          <w:sz w:val="22"/>
          <w:szCs w:val="22"/>
          <w:shd w:val="clear" w:color="auto" w:fill="FFFFFF"/>
        </w:rPr>
        <w:t>Enacted as part of TCJA</w:t>
      </w:r>
      <w:r w:rsidR="00000E1C" w:rsidRPr="0072637D">
        <w:rPr>
          <w:rFonts w:ascii="Georgia" w:hAnsi="Georgia" w:cs="Arial"/>
          <w:color w:val="333333"/>
          <w:sz w:val="22"/>
          <w:szCs w:val="22"/>
          <w:shd w:val="clear" w:color="auto" w:fill="FFFFFF"/>
        </w:rPr>
        <w:t xml:space="preserve">, Opportunity Zones are designed to provide tax incentives for investments in distressed communities. Opportunity Zones </w:t>
      </w:r>
      <w:r w:rsidR="0077577C">
        <w:rPr>
          <w:rFonts w:ascii="Georgia" w:hAnsi="Georgia" w:cs="Arial"/>
          <w:color w:val="333333"/>
          <w:sz w:val="22"/>
          <w:szCs w:val="22"/>
          <w:shd w:val="clear" w:color="auto" w:fill="FFFFFF"/>
        </w:rPr>
        <w:t>have held</w:t>
      </w:r>
      <w:r w:rsidR="0077577C" w:rsidRPr="0072637D">
        <w:rPr>
          <w:rFonts w:ascii="Georgia" w:hAnsi="Georgia" w:cs="Arial"/>
          <w:color w:val="333333"/>
          <w:sz w:val="22"/>
          <w:szCs w:val="22"/>
          <w:shd w:val="clear" w:color="auto" w:fill="FFFFFF"/>
        </w:rPr>
        <w:t xml:space="preserve"> </w:t>
      </w:r>
      <w:r w:rsidR="00000E1C" w:rsidRPr="0072637D">
        <w:rPr>
          <w:rFonts w:ascii="Georgia" w:hAnsi="Georgia" w:cs="Arial"/>
          <w:color w:val="333333"/>
          <w:sz w:val="22"/>
          <w:szCs w:val="22"/>
          <w:shd w:val="clear" w:color="auto" w:fill="FFFFFF"/>
        </w:rPr>
        <w:t>great promise for the development of multifamily housing.</w:t>
      </w:r>
      <w:r w:rsidRPr="0072637D">
        <w:rPr>
          <w:rFonts w:ascii="Georgia" w:hAnsi="Georgia" w:cs="Arial"/>
          <w:color w:val="333333"/>
          <w:sz w:val="22"/>
          <w:szCs w:val="22"/>
          <w:shd w:val="clear" w:color="auto" w:fill="FFFFFF"/>
        </w:rPr>
        <w:t xml:space="preserve"> In fact, Novogradac </w:t>
      </w:r>
      <w:r w:rsidR="004942D9" w:rsidRPr="0072637D">
        <w:rPr>
          <w:rFonts w:ascii="Georgia" w:hAnsi="Georgia" w:cs="Arial"/>
          <w:color w:val="333333"/>
          <w:sz w:val="22"/>
          <w:szCs w:val="22"/>
          <w:shd w:val="clear" w:color="auto" w:fill="FFFFFF"/>
        </w:rPr>
        <w:t xml:space="preserve">in April 2024 </w:t>
      </w:r>
      <w:r w:rsidRPr="0072637D">
        <w:rPr>
          <w:rFonts w:ascii="Georgia" w:hAnsi="Georgia" w:cs="Arial"/>
          <w:color w:val="333333"/>
          <w:sz w:val="22"/>
          <w:szCs w:val="22"/>
          <w:shd w:val="clear" w:color="auto" w:fill="FFFFFF"/>
        </w:rPr>
        <w:t>report</w:t>
      </w:r>
      <w:r w:rsidR="004942D9" w:rsidRPr="0072637D">
        <w:rPr>
          <w:rFonts w:ascii="Georgia" w:hAnsi="Georgia" w:cs="Arial"/>
          <w:color w:val="333333"/>
          <w:sz w:val="22"/>
          <w:szCs w:val="22"/>
          <w:shd w:val="clear" w:color="auto" w:fill="FFFFFF"/>
        </w:rPr>
        <w:t>ed</w:t>
      </w:r>
      <w:r w:rsidRPr="0072637D">
        <w:rPr>
          <w:rFonts w:ascii="Georgia" w:hAnsi="Georgia" w:cs="Arial"/>
          <w:color w:val="333333"/>
          <w:sz w:val="22"/>
          <w:szCs w:val="22"/>
          <w:shd w:val="clear" w:color="auto" w:fill="FFFFFF"/>
        </w:rPr>
        <w:t xml:space="preserve"> that residential </w:t>
      </w:r>
      <w:r w:rsidR="0072637D" w:rsidRPr="0072637D">
        <w:rPr>
          <w:rFonts w:ascii="Georgia" w:hAnsi="Georgia" w:cs="Arial"/>
          <w:color w:val="333333"/>
          <w:sz w:val="22"/>
          <w:szCs w:val="22"/>
          <w:shd w:val="clear" w:color="auto" w:fill="FFFFFF"/>
        </w:rPr>
        <w:t>investment continued</w:t>
      </w:r>
      <w:r w:rsidRPr="0072637D">
        <w:rPr>
          <w:rFonts w:ascii="Georgia" w:hAnsi="Georgia" w:cs="Arial"/>
          <w:color w:val="333333"/>
          <w:sz w:val="22"/>
          <w:szCs w:val="22"/>
          <w:shd w:val="clear" w:color="auto" w:fill="FFFFFF"/>
        </w:rPr>
        <w:t xml:space="preserve"> to be the leading investment area for Opportunity Funds. Funds tracked by Novogradac have </w:t>
      </w:r>
      <w:r w:rsidR="004942D9" w:rsidRPr="0072637D">
        <w:rPr>
          <w:rFonts w:ascii="Georgia" w:hAnsi="Georgia" w:cs="Arial"/>
          <w:color w:val="333333"/>
          <w:sz w:val="22"/>
          <w:szCs w:val="22"/>
          <w:shd w:val="clear" w:color="auto" w:fill="FFFFFF"/>
        </w:rPr>
        <w:t xml:space="preserve">helped finance over 175,000 </w:t>
      </w:r>
      <w:r w:rsidR="003F41BF" w:rsidRPr="0072637D">
        <w:rPr>
          <w:rFonts w:ascii="Georgia" w:hAnsi="Georgia" w:cs="Arial"/>
          <w:color w:val="333333"/>
          <w:sz w:val="22"/>
          <w:szCs w:val="22"/>
          <w:shd w:val="clear" w:color="auto" w:fill="FFFFFF"/>
        </w:rPr>
        <w:t xml:space="preserve">homes </w:t>
      </w:r>
      <w:r w:rsidR="004942D9" w:rsidRPr="0072637D">
        <w:rPr>
          <w:rFonts w:ascii="Georgia" w:hAnsi="Georgia" w:cs="Arial"/>
          <w:color w:val="333333"/>
          <w:sz w:val="22"/>
          <w:szCs w:val="22"/>
          <w:shd w:val="clear" w:color="auto" w:fill="FFFFFF"/>
        </w:rPr>
        <w:t>in more than 200 cities across the United States.</w:t>
      </w:r>
      <w:r w:rsidRPr="0072637D">
        <w:rPr>
          <w:rStyle w:val="FootnoteReference"/>
          <w:rFonts w:ascii="Georgia" w:hAnsi="Georgia" w:cs="Arial"/>
          <w:color w:val="333333"/>
          <w:sz w:val="22"/>
          <w:szCs w:val="22"/>
          <w:shd w:val="clear" w:color="auto" w:fill="FFFFFF"/>
        </w:rPr>
        <w:footnoteReference w:id="13"/>
      </w:r>
    </w:p>
    <w:p w14:paraId="7B973A94" w14:textId="77777777" w:rsidR="00767911" w:rsidRDefault="00767911" w:rsidP="00767911">
      <w:pPr>
        <w:pStyle w:val="NormalWeb"/>
        <w:spacing w:before="0" w:beforeAutospacing="0" w:after="0" w:afterAutospacing="0"/>
        <w:ind w:left="-475" w:right="-187"/>
        <w:jc w:val="both"/>
        <w:rPr>
          <w:rFonts w:ascii="Georgia" w:hAnsi="Georgia"/>
          <w:b/>
          <w:bCs/>
          <w:i/>
          <w:iCs/>
          <w:sz w:val="22"/>
          <w:szCs w:val="22"/>
        </w:rPr>
      </w:pPr>
    </w:p>
    <w:p w14:paraId="73AF3420" w14:textId="44D74F09" w:rsidR="00210968" w:rsidRPr="00767911" w:rsidRDefault="00000000" w:rsidP="00767911">
      <w:pPr>
        <w:pStyle w:val="NormalWeb"/>
        <w:spacing w:before="0" w:beforeAutospacing="0" w:after="0" w:afterAutospacing="0"/>
        <w:ind w:left="-475" w:right="-187"/>
        <w:jc w:val="both"/>
        <w:rPr>
          <w:rFonts w:ascii="Georgia" w:hAnsi="Georgia"/>
          <w:b/>
          <w:bCs/>
          <w:i/>
          <w:iCs/>
          <w:sz w:val="22"/>
          <w:szCs w:val="22"/>
        </w:rPr>
      </w:pPr>
      <w:r w:rsidRPr="00EB57C1">
        <w:rPr>
          <w:rFonts w:ascii="Georgia" w:eastAsia="Georgia" w:hAnsi="Georgia" w:cs="Georgia"/>
          <w:sz w:val="22"/>
          <w:szCs w:val="22"/>
        </w:rPr>
        <w:t xml:space="preserve">Under the program, </w:t>
      </w:r>
      <w:r w:rsidR="00F05B78">
        <w:rPr>
          <w:rFonts w:ascii="Georgia" w:eastAsia="Georgia" w:hAnsi="Georgia" w:cs="Georgia"/>
          <w:sz w:val="22"/>
          <w:szCs w:val="22"/>
        </w:rPr>
        <w:t>state g</w:t>
      </w:r>
      <w:r w:rsidRPr="00EB57C1">
        <w:rPr>
          <w:rFonts w:ascii="Georgia" w:eastAsia="Georgia" w:hAnsi="Georgia" w:cs="Georgia"/>
          <w:sz w:val="22"/>
          <w:szCs w:val="22"/>
        </w:rPr>
        <w:t xml:space="preserve">overnors have designated over 8,700 qualified low-income census tracts </w:t>
      </w:r>
      <w:r w:rsidRPr="00EB57C1">
        <w:rPr>
          <w:rFonts w:ascii="Georgia" w:hAnsi="Georgia"/>
          <w:sz w:val="22"/>
          <w:szCs w:val="22"/>
        </w:rPr>
        <w:t>nationwide</w:t>
      </w:r>
      <w:r w:rsidRPr="00EB57C1">
        <w:rPr>
          <w:rFonts w:ascii="Georgia" w:eastAsia="Georgia" w:hAnsi="Georgia" w:cs="Georgia"/>
          <w:sz w:val="22"/>
          <w:szCs w:val="22"/>
        </w:rPr>
        <w:t xml:space="preserve"> as Opportunity Zones</w:t>
      </w:r>
      <w:r w:rsidR="0077577C">
        <w:rPr>
          <w:rFonts w:ascii="Georgia" w:eastAsia="Georgia" w:hAnsi="Georgia" w:cs="Georgia"/>
          <w:sz w:val="22"/>
          <w:szCs w:val="22"/>
        </w:rPr>
        <w:t xml:space="preserve">, which </w:t>
      </w:r>
      <w:r w:rsidRPr="00EB57C1">
        <w:rPr>
          <w:rFonts w:ascii="Georgia" w:eastAsia="Georgia" w:hAnsi="Georgia" w:cs="Georgia"/>
          <w:sz w:val="22"/>
          <w:szCs w:val="22"/>
        </w:rPr>
        <w:t>remain in effect through 2028. Real</w:t>
      </w:r>
      <w:r w:rsidR="00BB61B3">
        <w:rPr>
          <w:rFonts w:ascii="Georgia" w:eastAsia="Georgia" w:hAnsi="Georgia" w:cs="Georgia"/>
          <w:sz w:val="22"/>
          <w:szCs w:val="22"/>
        </w:rPr>
        <w:t>-</w:t>
      </w:r>
      <w:r w:rsidRPr="00EB57C1">
        <w:rPr>
          <w:rFonts w:ascii="Georgia" w:eastAsia="Georgia" w:hAnsi="Georgia" w:cs="Georgia"/>
          <w:sz w:val="22"/>
          <w:szCs w:val="22"/>
        </w:rPr>
        <w:t xml:space="preserve">estate developers and others may establish Opportunity Funds to construct and rehabilitate multifamily property that </w:t>
      </w:r>
      <w:r w:rsidR="00FE413F" w:rsidRPr="00EB57C1">
        <w:rPr>
          <w:rFonts w:ascii="Georgia" w:eastAsia="Georgia" w:hAnsi="Georgia" w:cs="Georgia"/>
          <w:sz w:val="22"/>
          <w:szCs w:val="22"/>
        </w:rPr>
        <w:t>are</w:t>
      </w:r>
      <w:r w:rsidRPr="00EB57C1">
        <w:rPr>
          <w:rFonts w:ascii="Georgia" w:eastAsia="Georgia" w:hAnsi="Georgia" w:cs="Georgia"/>
          <w:sz w:val="22"/>
          <w:szCs w:val="22"/>
        </w:rPr>
        <w:t xml:space="preserve"> eligible for two tax incentives</w:t>
      </w:r>
      <w:r w:rsidR="0077577C">
        <w:rPr>
          <w:rFonts w:ascii="Georgia" w:eastAsia="Georgia" w:hAnsi="Georgia" w:cs="Georgia"/>
          <w:sz w:val="22"/>
          <w:szCs w:val="22"/>
        </w:rPr>
        <w:t>.</w:t>
      </w:r>
    </w:p>
    <w:p w14:paraId="236FB347" w14:textId="77777777" w:rsidR="132282A3" w:rsidRPr="00EB57C1" w:rsidRDefault="132282A3" w:rsidP="00E83B70">
      <w:pPr>
        <w:pStyle w:val="NormalWeb"/>
        <w:spacing w:before="0" w:beforeAutospacing="0" w:after="0" w:afterAutospacing="0"/>
        <w:ind w:left="-475" w:right="-187"/>
        <w:jc w:val="both"/>
        <w:rPr>
          <w:rFonts w:ascii="Georgia" w:eastAsia="Georgia" w:hAnsi="Georgia" w:cs="Georgia"/>
          <w:sz w:val="22"/>
          <w:szCs w:val="22"/>
        </w:rPr>
      </w:pPr>
    </w:p>
    <w:p w14:paraId="0F3D63D1" w14:textId="005938C2" w:rsidR="00210968" w:rsidRPr="00EB57C1" w:rsidRDefault="00000000" w:rsidP="00E83B70">
      <w:pPr>
        <w:pStyle w:val="NormalWeb"/>
        <w:spacing w:before="0" w:beforeAutospacing="0" w:after="0" w:afterAutospacing="0"/>
        <w:ind w:left="-475" w:right="-187"/>
        <w:jc w:val="both"/>
        <w:rPr>
          <w:rFonts w:ascii="Georgia" w:eastAsia="Georgia" w:hAnsi="Georgia" w:cs="Georgia"/>
          <w:sz w:val="22"/>
          <w:szCs w:val="22"/>
        </w:rPr>
      </w:pPr>
      <w:r w:rsidRPr="00EB57C1">
        <w:rPr>
          <w:rFonts w:ascii="Georgia" w:eastAsia="Georgia" w:hAnsi="Georgia" w:cs="Georgia"/>
          <w:sz w:val="22"/>
          <w:szCs w:val="22"/>
        </w:rPr>
        <w:t xml:space="preserve">First, taxpayers may defer taxes </w:t>
      </w:r>
      <w:r w:rsidR="0077577C">
        <w:rPr>
          <w:rFonts w:ascii="Georgia" w:eastAsia="Georgia" w:hAnsi="Georgia" w:cs="Georgia"/>
          <w:sz w:val="22"/>
          <w:szCs w:val="22"/>
        </w:rPr>
        <w:t xml:space="preserve">on </w:t>
      </w:r>
      <w:r w:rsidRPr="00EB57C1">
        <w:rPr>
          <w:rFonts w:ascii="Georgia" w:eastAsia="Georgia" w:hAnsi="Georgia" w:cs="Georgia"/>
          <w:sz w:val="22"/>
          <w:szCs w:val="22"/>
        </w:rPr>
        <w:t>capital gains that are reinvested in Opportunity Funds to the earlier of the date an investment in an Opportunity Fund is disposed of or December 31, 2026. Notably, gains deferred for five years are eligible for a 10</w:t>
      </w:r>
      <w:r w:rsidR="0077577C">
        <w:rPr>
          <w:rFonts w:ascii="Georgia" w:eastAsia="Georgia" w:hAnsi="Georgia" w:cs="Georgia"/>
          <w:sz w:val="22"/>
          <w:szCs w:val="22"/>
        </w:rPr>
        <w:t>-</w:t>
      </w:r>
      <w:r w:rsidRPr="00EB57C1">
        <w:rPr>
          <w:rFonts w:ascii="Georgia" w:eastAsia="Georgia" w:hAnsi="Georgia" w:cs="Georgia"/>
          <w:sz w:val="22"/>
          <w:szCs w:val="22"/>
        </w:rPr>
        <w:t xml:space="preserve">percent basis step up, while gains deferred for seven years are eligible for an additional </w:t>
      </w:r>
      <w:r w:rsidR="0077577C">
        <w:rPr>
          <w:rFonts w:ascii="Georgia" w:eastAsia="Georgia" w:hAnsi="Georgia" w:cs="Georgia"/>
          <w:sz w:val="22"/>
          <w:szCs w:val="22"/>
        </w:rPr>
        <w:t>5-</w:t>
      </w:r>
      <w:r w:rsidRPr="00EB57C1">
        <w:rPr>
          <w:rFonts w:ascii="Georgia" w:eastAsia="Georgia" w:hAnsi="Georgia" w:cs="Georgia"/>
          <w:sz w:val="22"/>
          <w:szCs w:val="22"/>
        </w:rPr>
        <w:t>percent basis step up.</w:t>
      </w:r>
    </w:p>
    <w:p w14:paraId="412B052B" w14:textId="77777777" w:rsidR="132282A3" w:rsidRPr="00EB57C1" w:rsidRDefault="132282A3" w:rsidP="00E83B70">
      <w:pPr>
        <w:pStyle w:val="NormalWeb"/>
        <w:spacing w:before="0" w:beforeAutospacing="0" w:after="0" w:afterAutospacing="0"/>
        <w:ind w:left="-475" w:right="-187"/>
        <w:jc w:val="both"/>
        <w:rPr>
          <w:rFonts w:ascii="Georgia" w:eastAsia="Georgia" w:hAnsi="Georgia" w:cs="Georgia"/>
          <w:sz w:val="22"/>
          <w:szCs w:val="22"/>
        </w:rPr>
      </w:pPr>
    </w:p>
    <w:p w14:paraId="2A721DF6" w14:textId="77777777" w:rsidR="00210968" w:rsidRPr="00EB57C1" w:rsidRDefault="00000000" w:rsidP="00E83B70">
      <w:pPr>
        <w:pStyle w:val="NormalWeb"/>
        <w:spacing w:before="0" w:beforeAutospacing="0" w:after="0" w:afterAutospacing="0"/>
        <w:ind w:left="-475" w:right="-187"/>
        <w:jc w:val="both"/>
        <w:rPr>
          <w:rFonts w:ascii="Georgia" w:eastAsia="Georgia" w:hAnsi="Georgia" w:cs="Georgia"/>
          <w:sz w:val="22"/>
          <w:szCs w:val="22"/>
        </w:rPr>
      </w:pPr>
      <w:r w:rsidRPr="00EB57C1">
        <w:rPr>
          <w:rFonts w:ascii="Georgia" w:eastAsia="Georgia" w:hAnsi="Georgia" w:cs="Georgia"/>
          <w:sz w:val="22"/>
          <w:szCs w:val="22"/>
        </w:rPr>
        <w:t>Second, post-acquisition capital gains on investments held in Opportunity Funds for at least 10 years may be permanently excluded from income.</w:t>
      </w:r>
    </w:p>
    <w:p w14:paraId="76F429F3" w14:textId="77777777" w:rsidR="132282A3" w:rsidRPr="00EB57C1" w:rsidRDefault="132282A3" w:rsidP="00E83B70">
      <w:pPr>
        <w:pStyle w:val="NormalWeb"/>
        <w:spacing w:before="0" w:beforeAutospacing="0" w:after="0" w:afterAutospacing="0"/>
        <w:ind w:left="-475" w:right="-187"/>
        <w:jc w:val="both"/>
        <w:rPr>
          <w:rFonts w:ascii="Georgia" w:eastAsia="Georgia" w:hAnsi="Georgia" w:cs="Georgia"/>
          <w:sz w:val="22"/>
          <w:szCs w:val="22"/>
        </w:rPr>
      </w:pPr>
    </w:p>
    <w:p w14:paraId="0FFA4957" w14:textId="079B56FB" w:rsidR="00B87E5A" w:rsidRPr="00EB57C1" w:rsidRDefault="00000000" w:rsidP="00E83B70">
      <w:pPr>
        <w:pStyle w:val="NormalWeb"/>
        <w:spacing w:before="0" w:beforeAutospacing="0" w:after="0" w:afterAutospacing="0"/>
        <w:ind w:left="-475" w:right="-187"/>
        <w:jc w:val="both"/>
        <w:rPr>
          <w:rFonts w:ascii="Georgia" w:eastAsia="Georgia" w:hAnsi="Georgia" w:cs="Georgia"/>
          <w:sz w:val="22"/>
          <w:szCs w:val="22"/>
        </w:rPr>
      </w:pPr>
      <w:r w:rsidRPr="00EB57C1">
        <w:rPr>
          <w:rFonts w:ascii="Georgia" w:eastAsia="Georgia" w:hAnsi="Georgia" w:cs="Georgia"/>
          <w:sz w:val="22"/>
          <w:szCs w:val="22"/>
        </w:rPr>
        <w:t xml:space="preserve">While taxpayers may continue to invest capital gains in Opportunity Funds through June 28, 2027, it is already too late to meet requirements for a step up in basis attributable to </w:t>
      </w:r>
      <w:r w:rsidR="00B37A5C" w:rsidRPr="00EB57C1">
        <w:rPr>
          <w:rFonts w:ascii="Georgia" w:eastAsia="Georgia" w:hAnsi="Georgia" w:cs="Georgia"/>
          <w:sz w:val="22"/>
          <w:szCs w:val="22"/>
        </w:rPr>
        <w:t xml:space="preserve">newly </w:t>
      </w:r>
      <w:r w:rsidRPr="00EB57C1">
        <w:rPr>
          <w:rFonts w:ascii="Georgia" w:eastAsia="Georgia" w:hAnsi="Georgia" w:cs="Georgia"/>
          <w:sz w:val="22"/>
          <w:szCs w:val="22"/>
        </w:rPr>
        <w:t>deferred capital gains. In addition, the economy has changed since Opportunity Zones were originally designated</w:t>
      </w:r>
      <w:r w:rsidR="0077577C">
        <w:rPr>
          <w:rFonts w:ascii="Georgia" w:eastAsia="Georgia" w:hAnsi="Georgia" w:cs="Georgia"/>
          <w:sz w:val="22"/>
          <w:szCs w:val="22"/>
        </w:rPr>
        <w:t xml:space="preserve"> shortly after the enactment of </w:t>
      </w:r>
      <w:r w:rsidR="0077577C" w:rsidRPr="0072637D">
        <w:rPr>
          <w:rFonts w:ascii="Georgia" w:eastAsia="Georgia" w:hAnsi="Georgia" w:cs="Georgia"/>
          <w:i/>
          <w:iCs/>
          <w:sz w:val="22"/>
          <w:szCs w:val="22"/>
        </w:rPr>
        <w:t>TCJA</w:t>
      </w:r>
      <w:r w:rsidRPr="00EB57C1">
        <w:rPr>
          <w:rFonts w:ascii="Georgia" w:eastAsia="Georgia" w:hAnsi="Georgia" w:cs="Georgia"/>
          <w:sz w:val="22"/>
          <w:szCs w:val="22"/>
        </w:rPr>
        <w:t>.</w:t>
      </w:r>
    </w:p>
    <w:p w14:paraId="0FDC3E0A" w14:textId="77777777" w:rsidR="132282A3" w:rsidRPr="00EB57C1" w:rsidRDefault="132282A3" w:rsidP="00E83B70">
      <w:pPr>
        <w:pStyle w:val="NormalWeb"/>
        <w:spacing w:before="0" w:beforeAutospacing="0" w:after="0" w:afterAutospacing="0"/>
        <w:ind w:left="-475" w:right="-187"/>
        <w:jc w:val="both"/>
        <w:rPr>
          <w:rFonts w:ascii="Georgia" w:eastAsia="Georgia" w:hAnsi="Georgia" w:cs="Georgia"/>
          <w:sz w:val="22"/>
          <w:szCs w:val="22"/>
        </w:rPr>
      </w:pPr>
    </w:p>
    <w:p w14:paraId="0F44B84A" w14:textId="4608B623" w:rsidR="00ED42F1" w:rsidRPr="00EB57C1" w:rsidRDefault="00000000" w:rsidP="00E83B70">
      <w:pPr>
        <w:pStyle w:val="NormalWeb"/>
        <w:spacing w:before="0" w:beforeAutospacing="0" w:after="0" w:afterAutospacing="0"/>
        <w:ind w:left="-475" w:right="-187"/>
        <w:jc w:val="both"/>
        <w:rPr>
          <w:rFonts w:ascii="Georgia" w:eastAsia="Georgia" w:hAnsi="Georgia" w:cs="Georgia"/>
          <w:sz w:val="22"/>
          <w:szCs w:val="22"/>
        </w:rPr>
      </w:pPr>
      <w:r w:rsidRPr="00EB57C1">
        <w:rPr>
          <w:rFonts w:ascii="Georgia" w:eastAsia="Georgia" w:hAnsi="Georgia" w:cs="Georgia"/>
          <w:sz w:val="22"/>
          <w:szCs w:val="22"/>
        </w:rPr>
        <w:t xml:space="preserve">Opportunity Zones can be a helpful tool to incentivize housing production and, thereby, </w:t>
      </w:r>
      <w:r w:rsidR="0077577C">
        <w:rPr>
          <w:rFonts w:ascii="Georgia" w:eastAsia="Georgia" w:hAnsi="Georgia" w:cs="Georgia"/>
          <w:sz w:val="22"/>
          <w:szCs w:val="22"/>
        </w:rPr>
        <w:t xml:space="preserve">assist in addressing </w:t>
      </w:r>
      <w:r w:rsidRPr="00EB57C1">
        <w:rPr>
          <w:rFonts w:ascii="Georgia" w:eastAsia="Georgia" w:hAnsi="Georgia" w:cs="Georgia"/>
          <w:sz w:val="22"/>
          <w:szCs w:val="22"/>
        </w:rPr>
        <w:t xml:space="preserve">the nation’s housing affordability crisis. However, to maximize the </w:t>
      </w:r>
      <w:r w:rsidR="0077577C">
        <w:rPr>
          <w:rFonts w:ascii="Georgia" w:eastAsia="Georgia" w:hAnsi="Georgia" w:cs="Georgia"/>
          <w:sz w:val="22"/>
          <w:szCs w:val="22"/>
        </w:rPr>
        <w:t xml:space="preserve">full </w:t>
      </w:r>
      <w:r w:rsidRPr="00EB57C1">
        <w:rPr>
          <w:rFonts w:ascii="Georgia" w:eastAsia="Georgia" w:hAnsi="Georgia" w:cs="Georgia"/>
          <w:sz w:val="22"/>
          <w:szCs w:val="22"/>
        </w:rPr>
        <w:t>potential of Opportunity Zones, Congress should:</w:t>
      </w:r>
    </w:p>
    <w:p w14:paraId="5A5E9A44" w14:textId="77777777" w:rsidR="132282A3" w:rsidRPr="00EB57C1" w:rsidRDefault="132282A3" w:rsidP="00E83B70">
      <w:pPr>
        <w:pStyle w:val="NormalWeb"/>
        <w:spacing w:before="0" w:beforeAutospacing="0" w:after="0" w:afterAutospacing="0"/>
        <w:ind w:left="-475" w:right="-187"/>
        <w:jc w:val="both"/>
        <w:rPr>
          <w:rFonts w:ascii="Georgia" w:eastAsia="Georgia" w:hAnsi="Georgia" w:cs="Georgia"/>
          <w:sz w:val="22"/>
          <w:szCs w:val="22"/>
        </w:rPr>
      </w:pPr>
    </w:p>
    <w:p w14:paraId="10EF46EB" w14:textId="3407C042" w:rsidR="00EB57C1" w:rsidRPr="00056D95" w:rsidRDefault="00000000" w:rsidP="00056D95">
      <w:pPr>
        <w:pStyle w:val="ListParagraph"/>
        <w:numPr>
          <w:ilvl w:val="0"/>
          <w:numId w:val="25"/>
        </w:numPr>
        <w:spacing w:after="240"/>
        <w:ind w:left="245" w:right="-187"/>
        <w:contextualSpacing w:val="0"/>
        <w:jc w:val="both"/>
        <w:rPr>
          <w:rFonts w:ascii="Georgia" w:hAnsi="Georgia" w:cs="Georgia"/>
          <w:color w:val="000000" w:themeColor="text1"/>
          <w:sz w:val="22"/>
          <w:szCs w:val="22"/>
        </w:rPr>
      </w:pPr>
      <w:r w:rsidRPr="00056D95">
        <w:rPr>
          <w:rFonts w:ascii="Georgia" w:hAnsi="Georgia" w:cs="Georgia"/>
          <w:color w:val="000000" w:themeColor="text1"/>
          <w:sz w:val="22"/>
          <w:szCs w:val="22"/>
        </w:rPr>
        <w:t xml:space="preserve">Enable </w:t>
      </w:r>
      <w:r w:rsidR="00F05B78" w:rsidRPr="00056D95">
        <w:rPr>
          <w:rFonts w:ascii="Georgia" w:hAnsi="Georgia" w:cs="Georgia"/>
          <w:color w:val="000000" w:themeColor="text1"/>
          <w:sz w:val="22"/>
          <w:szCs w:val="22"/>
        </w:rPr>
        <w:t>s</w:t>
      </w:r>
      <w:r w:rsidRPr="00056D95">
        <w:rPr>
          <w:rFonts w:ascii="Georgia" w:hAnsi="Georgia" w:cs="Georgia"/>
          <w:color w:val="000000" w:themeColor="text1"/>
          <w:sz w:val="22"/>
          <w:szCs w:val="22"/>
        </w:rPr>
        <w:t xml:space="preserve">tates to recertify and/or redesignate Opportunity Zones to account for current economic realities and changes since </w:t>
      </w:r>
      <w:r w:rsidR="00F05B78" w:rsidRPr="00056D95">
        <w:rPr>
          <w:rFonts w:ascii="Georgia" w:hAnsi="Georgia" w:cs="Georgia"/>
          <w:color w:val="000000" w:themeColor="text1"/>
          <w:sz w:val="22"/>
          <w:szCs w:val="22"/>
        </w:rPr>
        <w:t>z</w:t>
      </w:r>
      <w:r w:rsidRPr="00056D95">
        <w:rPr>
          <w:rFonts w:ascii="Georgia" w:hAnsi="Georgia" w:cs="Georgia"/>
          <w:color w:val="000000" w:themeColor="text1"/>
          <w:sz w:val="22"/>
          <w:szCs w:val="22"/>
        </w:rPr>
        <w:t>ones were originally designated; and</w:t>
      </w:r>
    </w:p>
    <w:p w14:paraId="46807193" w14:textId="39882B7C" w:rsidR="00B87E5A" w:rsidRPr="00EB57C1" w:rsidRDefault="00000000" w:rsidP="00EB57C1">
      <w:pPr>
        <w:pStyle w:val="ListParagraph"/>
        <w:numPr>
          <w:ilvl w:val="0"/>
          <w:numId w:val="25"/>
        </w:numPr>
        <w:ind w:left="245" w:right="-187"/>
        <w:jc w:val="both"/>
        <w:rPr>
          <w:rFonts w:ascii="Georgia" w:hAnsi="Georgia" w:cs="Georgia"/>
          <w:color w:val="000000" w:themeColor="text1"/>
          <w:sz w:val="22"/>
          <w:szCs w:val="22"/>
        </w:rPr>
      </w:pPr>
      <w:r w:rsidRPr="00EB57C1">
        <w:rPr>
          <w:rFonts w:ascii="Georgia" w:hAnsi="Georgia" w:cs="Georgia"/>
          <w:color w:val="000000" w:themeColor="text1"/>
          <w:sz w:val="22"/>
          <w:szCs w:val="22"/>
        </w:rPr>
        <w:t xml:space="preserve">Establish new investment deadlines so that taxpayers are incentivized to receive both a longer deferral period and the potential for </w:t>
      </w:r>
      <w:r w:rsidR="00F05B78">
        <w:rPr>
          <w:rFonts w:ascii="Georgia" w:hAnsi="Georgia" w:cs="Georgia"/>
          <w:color w:val="000000" w:themeColor="text1"/>
          <w:sz w:val="22"/>
          <w:szCs w:val="22"/>
        </w:rPr>
        <w:t>the</w:t>
      </w:r>
      <w:r w:rsidR="00F05B78" w:rsidRPr="00EB57C1">
        <w:rPr>
          <w:rFonts w:ascii="Georgia" w:hAnsi="Georgia" w:cs="Georgia"/>
          <w:color w:val="000000" w:themeColor="text1"/>
          <w:sz w:val="22"/>
          <w:szCs w:val="22"/>
        </w:rPr>
        <w:t xml:space="preserve"> </w:t>
      </w:r>
      <w:r w:rsidRPr="00EB57C1">
        <w:rPr>
          <w:rFonts w:ascii="Georgia" w:hAnsi="Georgia" w:cs="Georgia"/>
          <w:color w:val="000000" w:themeColor="text1"/>
          <w:sz w:val="22"/>
          <w:szCs w:val="22"/>
        </w:rPr>
        <w:t>10</w:t>
      </w:r>
      <w:r w:rsidR="00F05B78">
        <w:rPr>
          <w:rFonts w:ascii="Georgia" w:hAnsi="Georgia" w:cs="Georgia"/>
          <w:color w:val="000000" w:themeColor="text1"/>
          <w:sz w:val="22"/>
          <w:szCs w:val="22"/>
        </w:rPr>
        <w:t>-</w:t>
      </w:r>
      <w:r w:rsidRPr="00EB57C1">
        <w:rPr>
          <w:rFonts w:ascii="Georgia" w:hAnsi="Georgia" w:cs="Georgia"/>
          <w:color w:val="000000" w:themeColor="text1"/>
          <w:sz w:val="22"/>
          <w:szCs w:val="22"/>
        </w:rPr>
        <w:t>percent or 15</w:t>
      </w:r>
      <w:r w:rsidR="00F05B78">
        <w:rPr>
          <w:rFonts w:ascii="Georgia" w:hAnsi="Georgia" w:cs="Georgia"/>
          <w:color w:val="000000" w:themeColor="text1"/>
          <w:sz w:val="22"/>
          <w:szCs w:val="22"/>
        </w:rPr>
        <w:t>-</w:t>
      </w:r>
      <w:r w:rsidRPr="00EB57C1">
        <w:rPr>
          <w:rFonts w:ascii="Georgia" w:hAnsi="Georgia" w:cs="Georgia"/>
          <w:color w:val="000000" w:themeColor="text1"/>
          <w:sz w:val="22"/>
          <w:szCs w:val="22"/>
        </w:rPr>
        <w:t>percent basis increase with respect to reinvested capital gains.</w:t>
      </w:r>
    </w:p>
    <w:p w14:paraId="4891E3D3" w14:textId="77777777" w:rsidR="132282A3" w:rsidRPr="00EB57C1" w:rsidRDefault="132282A3" w:rsidP="00E83B70">
      <w:pPr>
        <w:ind w:left="-475" w:right="-187"/>
        <w:jc w:val="both"/>
        <w:rPr>
          <w:rFonts w:ascii="Georgia" w:hAnsi="Georgia" w:cs="Georgia"/>
          <w:color w:val="000000" w:themeColor="text1"/>
          <w:sz w:val="22"/>
          <w:szCs w:val="22"/>
        </w:rPr>
      </w:pPr>
    </w:p>
    <w:p w14:paraId="1FDE042D" w14:textId="0C0A7F27" w:rsidR="00B87E5A" w:rsidRPr="00EB57C1" w:rsidRDefault="00000000" w:rsidP="00E83B70">
      <w:pPr>
        <w:pStyle w:val="NormalWeb"/>
        <w:spacing w:before="0" w:beforeAutospacing="0" w:after="0" w:afterAutospacing="0"/>
        <w:ind w:left="-475" w:right="-187"/>
        <w:jc w:val="both"/>
        <w:rPr>
          <w:rFonts w:ascii="Georgia" w:eastAsia="Georgia" w:hAnsi="Georgia" w:cs="Georgia"/>
          <w:sz w:val="22"/>
          <w:szCs w:val="22"/>
        </w:rPr>
      </w:pPr>
      <w:r w:rsidRPr="00EB57C1">
        <w:rPr>
          <w:rFonts w:ascii="Georgia" w:eastAsia="Georgia" w:hAnsi="Georgia" w:cs="Georgia"/>
          <w:sz w:val="22"/>
          <w:szCs w:val="22"/>
        </w:rPr>
        <w:t xml:space="preserve">While Opportunity Zones are beneficial for new multifamily development, </w:t>
      </w:r>
      <w:r w:rsidR="0072637D">
        <w:rPr>
          <w:rFonts w:ascii="Georgia" w:eastAsia="Georgia" w:hAnsi="Georgia" w:cs="Georgia"/>
          <w:sz w:val="22"/>
          <w:szCs w:val="22"/>
        </w:rPr>
        <w:t>developers</w:t>
      </w:r>
      <w:r w:rsidR="0072637D" w:rsidRPr="00EB57C1">
        <w:rPr>
          <w:rFonts w:ascii="Georgia" w:eastAsia="Georgia" w:hAnsi="Georgia" w:cs="Georgia"/>
          <w:sz w:val="22"/>
          <w:szCs w:val="22"/>
        </w:rPr>
        <w:t xml:space="preserve"> </w:t>
      </w:r>
      <w:r w:rsidRPr="00EB57C1">
        <w:rPr>
          <w:rFonts w:ascii="Georgia" w:eastAsia="Georgia" w:hAnsi="Georgia" w:cs="Georgia"/>
          <w:sz w:val="22"/>
          <w:szCs w:val="22"/>
        </w:rPr>
        <w:t xml:space="preserve">may find it difficult </w:t>
      </w:r>
      <w:r w:rsidR="00F05B78">
        <w:rPr>
          <w:rFonts w:ascii="Georgia" w:eastAsia="Georgia" w:hAnsi="Georgia" w:cs="Georgia"/>
          <w:sz w:val="22"/>
          <w:szCs w:val="22"/>
        </w:rPr>
        <w:t xml:space="preserve">to </w:t>
      </w:r>
      <w:r w:rsidRPr="00EB57C1">
        <w:rPr>
          <w:rFonts w:ascii="Georgia" w:eastAsia="Georgia" w:hAnsi="Georgia" w:cs="Georgia"/>
          <w:sz w:val="22"/>
          <w:szCs w:val="22"/>
        </w:rPr>
        <w:t>use Opportunity Zone benefits to rehabilitate existing properties. To qualify for Opportunity Zone benefits for renovations, the basis of an existing asset must be doubled</w:t>
      </w:r>
      <w:r w:rsidR="00F05B78">
        <w:rPr>
          <w:rFonts w:ascii="Georgia" w:eastAsia="Georgia" w:hAnsi="Georgia" w:cs="Georgia"/>
          <w:sz w:val="22"/>
          <w:szCs w:val="22"/>
        </w:rPr>
        <w:t>,</w:t>
      </w:r>
      <w:r w:rsidRPr="00EB57C1">
        <w:rPr>
          <w:rFonts w:ascii="Georgia" w:eastAsia="Georgia" w:hAnsi="Georgia" w:cs="Georgia"/>
          <w:sz w:val="22"/>
          <w:szCs w:val="22"/>
        </w:rPr>
        <w:t xml:space="preserve"> excluding </w:t>
      </w:r>
      <w:r w:rsidR="00F05B78">
        <w:rPr>
          <w:rFonts w:ascii="Georgia" w:eastAsia="Georgia" w:hAnsi="Georgia" w:cs="Georgia"/>
          <w:sz w:val="22"/>
          <w:szCs w:val="22"/>
        </w:rPr>
        <w:t xml:space="preserve">the value of any </w:t>
      </w:r>
      <w:r w:rsidRPr="00EB57C1">
        <w:rPr>
          <w:rFonts w:ascii="Georgia" w:eastAsia="Georgia" w:hAnsi="Georgia" w:cs="Georgia"/>
          <w:sz w:val="22"/>
          <w:szCs w:val="22"/>
        </w:rPr>
        <w:t>land. Although property that is added to and improves an asset can count toward this threshold, doubling the basis can still be a high hurdle. Accordingly, Congress should reduce the basis increase necessary to qualify a multifamily rehabilitation project for Opportunity Zone purposes.</w:t>
      </w:r>
    </w:p>
    <w:p w14:paraId="2352E2C1" w14:textId="77777777" w:rsidR="00000E1C" w:rsidRPr="00EB57C1" w:rsidRDefault="00000E1C" w:rsidP="00E83B70">
      <w:pPr>
        <w:ind w:left="-475" w:right="-187"/>
        <w:rPr>
          <w:rFonts w:ascii="Georgia" w:eastAsia="Times New Roman" w:hAnsi="Georgia"/>
          <w:sz w:val="22"/>
          <w:szCs w:val="22"/>
        </w:rPr>
      </w:pPr>
    </w:p>
    <w:p w14:paraId="3DD1C6A1" w14:textId="5537A9B2" w:rsidR="00000E1C" w:rsidRPr="00EB57C1" w:rsidRDefault="00000000" w:rsidP="00E83B70">
      <w:pPr>
        <w:pStyle w:val="NormalWeb"/>
        <w:spacing w:before="0" w:beforeAutospacing="0" w:after="0" w:afterAutospacing="0"/>
        <w:ind w:left="-475" w:right="-187"/>
        <w:jc w:val="both"/>
        <w:rPr>
          <w:rFonts w:ascii="Georgia" w:hAnsi="Georgia"/>
          <w:b/>
          <w:bCs/>
          <w:i/>
          <w:iCs/>
          <w:sz w:val="22"/>
          <w:szCs w:val="22"/>
        </w:rPr>
      </w:pPr>
      <w:r w:rsidRPr="00EB57C1">
        <w:rPr>
          <w:rFonts w:ascii="Georgia" w:hAnsi="Georgia"/>
          <w:b/>
          <w:bCs/>
          <w:i/>
          <w:iCs/>
          <w:sz w:val="22"/>
          <w:szCs w:val="22"/>
        </w:rPr>
        <w:lastRenderedPageBreak/>
        <w:t>Encourag</w:t>
      </w:r>
      <w:r w:rsidR="00523482">
        <w:rPr>
          <w:rFonts w:ascii="Georgia" w:hAnsi="Georgia"/>
          <w:b/>
          <w:bCs/>
          <w:i/>
          <w:iCs/>
          <w:sz w:val="22"/>
          <w:szCs w:val="22"/>
        </w:rPr>
        <w:t>e</w:t>
      </w:r>
      <w:r w:rsidRPr="00EB57C1">
        <w:rPr>
          <w:rFonts w:ascii="Georgia" w:hAnsi="Georgia"/>
          <w:b/>
          <w:bCs/>
          <w:i/>
          <w:iCs/>
          <w:sz w:val="22"/>
          <w:szCs w:val="22"/>
        </w:rPr>
        <w:t xml:space="preserve"> the Adaptive Reuse of Underutilized Commercial Properties into Multifamily Housing</w:t>
      </w:r>
    </w:p>
    <w:p w14:paraId="33BDD107" w14:textId="77777777" w:rsidR="132282A3" w:rsidRPr="00EB57C1" w:rsidRDefault="132282A3" w:rsidP="00E83B70">
      <w:pPr>
        <w:pStyle w:val="NormalWeb"/>
        <w:spacing w:before="0" w:beforeAutospacing="0" w:after="0" w:afterAutospacing="0"/>
        <w:ind w:left="-475" w:right="-187"/>
        <w:jc w:val="both"/>
        <w:rPr>
          <w:rFonts w:ascii="Georgia" w:hAnsi="Georgia"/>
          <w:b/>
          <w:bCs/>
          <w:i/>
          <w:iCs/>
          <w:sz w:val="22"/>
          <w:szCs w:val="22"/>
        </w:rPr>
      </w:pPr>
    </w:p>
    <w:p w14:paraId="1408B869" w14:textId="6718FF08"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Given the </w:t>
      </w:r>
      <w:r w:rsidRPr="00EB57C1">
        <w:rPr>
          <w:rFonts w:ascii="Georgia" w:eastAsia="Georgia" w:hAnsi="Georgia" w:cs="Georgia"/>
          <w:sz w:val="22"/>
          <w:szCs w:val="22"/>
        </w:rPr>
        <w:t>nation’s</w:t>
      </w:r>
      <w:r w:rsidRPr="00EB57C1">
        <w:rPr>
          <w:rFonts w:ascii="Georgia" w:hAnsi="Georgia"/>
          <w:sz w:val="22"/>
          <w:szCs w:val="22"/>
        </w:rPr>
        <w:t xml:space="preserve"> shortage of affordable rental housing, many </w:t>
      </w:r>
      <w:r w:rsidR="00F05B78">
        <w:rPr>
          <w:rFonts w:ascii="Georgia" w:hAnsi="Georgia"/>
          <w:sz w:val="22"/>
          <w:szCs w:val="22"/>
        </w:rPr>
        <w:t xml:space="preserve">developers </w:t>
      </w:r>
      <w:r w:rsidRPr="00EB57C1">
        <w:rPr>
          <w:rFonts w:ascii="Georgia" w:hAnsi="Georgia"/>
          <w:sz w:val="22"/>
          <w:szCs w:val="22"/>
        </w:rPr>
        <w:t>are considering turning unused and underutilized commercial real estate, including offices, hotels, and retail spaces into housing. Not only would such repurposing help address the nation’s housing supply challenge, but it would also create jobs and boost local property tax revenues</w:t>
      </w:r>
      <w:r w:rsidR="00F05B78">
        <w:rPr>
          <w:rFonts w:ascii="Georgia" w:hAnsi="Georgia"/>
          <w:sz w:val="22"/>
          <w:szCs w:val="22"/>
        </w:rPr>
        <w:t xml:space="preserve"> and economic growth</w:t>
      </w:r>
      <w:r w:rsidRPr="00EB57C1">
        <w:rPr>
          <w:rFonts w:ascii="Georgia" w:hAnsi="Georgia"/>
          <w:sz w:val="22"/>
          <w:szCs w:val="22"/>
        </w:rPr>
        <w:t>.</w:t>
      </w:r>
    </w:p>
    <w:p w14:paraId="2D9756D5" w14:textId="77777777" w:rsidR="00000E1C" w:rsidRPr="00EB57C1" w:rsidRDefault="00000E1C" w:rsidP="00E83B70">
      <w:pPr>
        <w:pStyle w:val="IssueCopy"/>
        <w:spacing w:line="240" w:lineRule="auto"/>
        <w:ind w:left="-475" w:right="-187"/>
        <w:jc w:val="both"/>
        <w:rPr>
          <w:rFonts w:ascii="Georgia" w:hAnsi="Georgia" w:cstheme="minorBidi"/>
          <w:sz w:val="22"/>
          <w:szCs w:val="22"/>
        </w:rPr>
      </w:pPr>
    </w:p>
    <w:p w14:paraId="21EAF62F" w14:textId="44FCD582"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A segment of commercial real</w:t>
      </w:r>
      <w:r w:rsidR="00CC2AB8">
        <w:rPr>
          <w:rFonts w:ascii="Georgia" w:hAnsi="Georgia"/>
          <w:sz w:val="22"/>
          <w:szCs w:val="22"/>
        </w:rPr>
        <w:t>-</w:t>
      </w:r>
      <w:r w:rsidRPr="00EB57C1">
        <w:rPr>
          <w:rFonts w:ascii="Georgia" w:hAnsi="Georgia"/>
          <w:sz w:val="22"/>
          <w:szCs w:val="22"/>
        </w:rPr>
        <w:t xml:space="preserve">estate space could potentially be available to be converted into </w:t>
      </w:r>
      <w:r w:rsidR="00F05B78">
        <w:rPr>
          <w:rFonts w:ascii="Georgia" w:hAnsi="Georgia"/>
          <w:sz w:val="22"/>
          <w:szCs w:val="22"/>
        </w:rPr>
        <w:t xml:space="preserve">affordable </w:t>
      </w:r>
      <w:r w:rsidRPr="00EB57C1">
        <w:rPr>
          <w:rFonts w:ascii="Georgia" w:hAnsi="Georgia"/>
          <w:sz w:val="22"/>
          <w:szCs w:val="22"/>
        </w:rPr>
        <w:t xml:space="preserve">housing. A </w:t>
      </w:r>
      <w:hyperlink r:id="rId12" w:history="1">
        <w:r w:rsidRPr="00EB57C1">
          <w:rPr>
            <w:rStyle w:val="Hyperlink"/>
            <w:rFonts w:ascii="Georgia" w:hAnsi="Georgia"/>
            <w:sz w:val="22"/>
            <w:szCs w:val="22"/>
          </w:rPr>
          <w:t>February 2023</w:t>
        </w:r>
      </w:hyperlink>
      <w:r>
        <w:rPr>
          <w:rStyle w:val="FootnoteReference"/>
          <w:rFonts w:ascii="Georgia" w:hAnsi="Georgia"/>
          <w:sz w:val="22"/>
          <w:szCs w:val="22"/>
        </w:rPr>
        <w:footnoteReference w:id="14"/>
      </w:r>
      <w:r w:rsidRPr="00EB57C1">
        <w:rPr>
          <w:rFonts w:ascii="Georgia" w:hAnsi="Georgia"/>
          <w:sz w:val="22"/>
          <w:szCs w:val="22"/>
        </w:rPr>
        <w:t xml:space="preserve"> Urban Land Institute study commissioned by the NMHC Research Foundation provided case study examples of successful conversions, and several large jurisdictions, including Washington, DC</w:t>
      </w:r>
      <w:r w:rsidR="00B86EEE">
        <w:rPr>
          <w:rFonts w:ascii="Georgia" w:hAnsi="Georgia"/>
          <w:sz w:val="22"/>
          <w:szCs w:val="22"/>
        </w:rPr>
        <w:t>,</w:t>
      </w:r>
      <w:r w:rsidRPr="00EB57C1">
        <w:rPr>
          <w:rFonts w:ascii="Georgia" w:hAnsi="Georgia"/>
          <w:sz w:val="22"/>
          <w:szCs w:val="22"/>
        </w:rPr>
        <w:t xml:space="preserve"> and New York City, have recently embarked on plans to incentivize office-to-residential conversions.</w:t>
      </w:r>
      <w:r>
        <w:rPr>
          <w:rStyle w:val="FootnoteReference"/>
          <w:rFonts w:ascii="Georgia" w:hAnsi="Georgia"/>
          <w:sz w:val="22"/>
          <w:szCs w:val="22"/>
        </w:rPr>
        <w:footnoteReference w:id="15"/>
      </w:r>
    </w:p>
    <w:p w14:paraId="4DF32385" w14:textId="77777777" w:rsidR="00000E1C" w:rsidRPr="00EB57C1" w:rsidRDefault="00000E1C" w:rsidP="00E83B70">
      <w:pPr>
        <w:pStyle w:val="IssueCopy"/>
        <w:spacing w:line="240" w:lineRule="auto"/>
        <w:ind w:left="-475" w:right="-187"/>
        <w:jc w:val="both"/>
        <w:rPr>
          <w:rFonts w:ascii="Georgia" w:hAnsi="Georgia" w:cstheme="minorBidi"/>
          <w:sz w:val="22"/>
          <w:szCs w:val="22"/>
        </w:rPr>
      </w:pPr>
    </w:p>
    <w:p w14:paraId="03A672DF" w14:textId="3297C2E1"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Changing consumer preferences and online shopping are also changing the real</w:t>
      </w:r>
      <w:r w:rsidR="00CC2AB8">
        <w:rPr>
          <w:rFonts w:ascii="Georgia" w:hAnsi="Georgia"/>
          <w:sz w:val="22"/>
          <w:szCs w:val="22"/>
        </w:rPr>
        <w:t>-</w:t>
      </w:r>
      <w:r w:rsidRPr="00EB57C1">
        <w:rPr>
          <w:rFonts w:ascii="Georgia" w:hAnsi="Georgia"/>
          <w:sz w:val="22"/>
          <w:szCs w:val="22"/>
        </w:rPr>
        <w:t>estate landscape. Estimates show between several hundred million and 1 billion square feet of surplus and obsolete retail space. Slower post-pandemic business travel is also challenging a portion of the nation’s hotel stock.</w:t>
      </w:r>
      <w:r>
        <w:rPr>
          <w:rStyle w:val="FootnoteReference"/>
          <w:rFonts w:ascii="Georgia" w:hAnsi="Georgia"/>
          <w:sz w:val="22"/>
          <w:szCs w:val="22"/>
        </w:rPr>
        <w:footnoteReference w:id="16"/>
      </w:r>
    </w:p>
    <w:p w14:paraId="2391886A" w14:textId="77777777" w:rsidR="00000E1C" w:rsidRPr="00EB57C1" w:rsidRDefault="00000E1C" w:rsidP="00E83B70">
      <w:pPr>
        <w:pStyle w:val="IssueCopy"/>
        <w:spacing w:line="240" w:lineRule="auto"/>
        <w:ind w:left="-475" w:right="-187"/>
        <w:jc w:val="both"/>
        <w:rPr>
          <w:rFonts w:ascii="Georgia" w:hAnsi="Georgia" w:cstheme="minorHAnsi"/>
          <w:sz w:val="22"/>
          <w:szCs w:val="22"/>
        </w:rPr>
      </w:pPr>
    </w:p>
    <w:p w14:paraId="212B1537" w14:textId="77777777"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Unfortunately, converting commercial real estate into housing can be extremely challenging and can be more complicated than typical ground-up development. Costs associated with property acquisition and conversion, including addressing structural building issues (e.g., beams, columns, ceiling heights, utilities, and floor layouts), can quickly add up and make the difference between a viable or unfeasible project. This is in addition to other barriers that may arise, including permitting, zoning rules, and NIMBYISM.</w:t>
      </w:r>
    </w:p>
    <w:p w14:paraId="0CD99622" w14:textId="77777777" w:rsidR="003B582C" w:rsidRPr="00EB57C1" w:rsidRDefault="003B582C" w:rsidP="00E83B70">
      <w:pPr>
        <w:pStyle w:val="IssueCopy"/>
        <w:spacing w:line="240" w:lineRule="auto"/>
        <w:ind w:left="-475" w:right="-187"/>
        <w:jc w:val="both"/>
        <w:rPr>
          <w:rFonts w:ascii="Georgia" w:hAnsi="Georgia" w:cstheme="minorHAnsi"/>
          <w:sz w:val="22"/>
          <w:szCs w:val="22"/>
        </w:rPr>
      </w:pPr>
    </w:p>
    <w:p w14:paraId="12613DD8" w14:textId="11D6FBE4" w:rsidR="00A6616F"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A Federal tax incentive to encourage property conversions would be greatly beneficial in helping to overcome these obstacles and spurring additional housing supply. In addition, it would help revitalize distressed commercial property and stabilize the surrounding communities. Notably, </w:t>
      </w:r>
      <w:r w:rsidR="00F05B78">
        <w:rPr>
          <w:rFonts w:ascii="Georgia" w:hAnsi="Georgia"/>
          <w:sz w:val="22"/>
          <w:szCs w:val="22"/>
        </w:rPr>
        <w:t>Representative</w:t>
      </w:r>
      <w:r w:rsidR="00CB23B9">
        <w:rPr>
          <w:rFonts w:ascii="Georgia" w:hAnsi="Georgia"/>
          <w:sz w:val="22"/>
          <w:szCs w:val="22"/>
        </w:rPr>
        <w:t xml:space="preserve"> Gomez</w:t>
      </w:r>
      <w:r w:rsidRPr="00EB57C1">
        <w:rPr>
          <w:rFonts w:ascii="Georgia" w:hAnsi="Georgia"/>
          <w:sz w:val="22"/>
          <w:szCs w:val="22"/>
        </w:rPr>
        <w:t xml:space="preserve"> </w:t>
      </w:r>
      <w:r w:rsidR="00CB23B9">
        <w:rPr>
          <w:rFonts w:ascii="Georgia" w:hAnsi="Georgia"/>
          <w:sz w:val="22"/>
          <w:szCs w:val="22"/>
        </w:rPr>
        <w:t xml:space="preserve">has </w:t>
      </w:r>
      <w:r w:rsidR="00E023FE">
        <w:rPr>
          <w:rFonts w:ascii="Georgia" w:hAnsi="Georgia"/>
          <w:sz w:val="22"/>
          <w:szCs w:val="22"/>
        </w:rPr>
        <w:t>re</w:t>
      </w:r>
      <w:r w:rsidR="00C76B2B">
        <w:rPr>
          <w:rFonts w:ascii="Georgia" w:hAnsi="Georgia"/>
          <w:sz w:val="22"/>
          <w:szCs w:val="22"/>
        </w:rPr>
        <w:t xml:space="preserve">introduced </w:t>
      </w:r>
      <w:r w:rsidRPr="00EB57C1">
        <w:rPr>
          <w:rFonts w:ascii="Georgia" w:hAnsi="Georgia"/>
          <w:sz w:val="22"/>
          <w:szCs w:val="22"/>
        </w:rPr>
        <w:t xml:space="preserve">the </w:t>
      </w:r>
      <w:r w:rsidRPr="00EB57C1">
        <w:rPr>
          <w:rFonts w:ascii="Georgia" w:hAnsi="Georgia"/>
          <w:i/>
          <w:iCs/>
          <w:sz w:val="22"/>
          <w:szCs w:val="22"/>
        </w:rPr>
        <w:t>Revitalizing Downtowns Act</w:t>
      </w:r>
      <w:r w:rsidRPr="00EB57C1">
        <w:rPr>
          <w:rFonts w:ascii="Georgia" w:hAnsi="Georgia"/>
          <w:sz w:val="22"/>
          <w:szCs w:val="22"/>
        </w:rPr>
        <w:t xml:space="preserve"> (</w:t>
      </w:r>
      <w:r w:rsidR="00CB23B9">
        <w:rPr>
          <w:rFonts w:ascii="Georgia" w:hAnsi="Georgia"/>
          <w:sz w:val="22"/>
          <w:szCs w:val="22"/>
        </w:rPr>
        <w:t>H</w:t>
      </w:r>
      <w:r w:rsidRPr="00EB57C1">
        <w:rPr>
          <w:rFonts w:ascii="Georgia" w:hAnsi="Georgia"/>
          <w:sz w:val="22"/>
          <w:szCs w:val="22"/>
        </w:rPr>
        <w:t>.</w:t>
      </w:r>
      <w:r w:rsidR="00CB23B9">
        <w:rPr>
          <w:rFonts w:ascii="Georgia" w:hAnsi="Georgia"/>
          <w:sz w:val="22"/>
          <w:szCs w:val="22"/>
        </w:rPr>
        <w:t>R.</w:t>
      </w:r>
      <w:r w:rsidRPr="00EB57C1">
        <w:rPr>
          <w:rFonts w:ascii="Georgia" w:hAnsi="Georgia"/>
          <w:sz w:val="22"/>
          <w:szCs w:val="22"/>
        </w:rPr>
        <w:t xml:space="preserve"> </w:t>
      </w:r>
      <w:r w:rsidR="00CB23B9">
        <w:rPr>
          <w:rFonts w:ascii="Georgia" w:hAnsi="Georgia"/>
          <w:sz w:val="22"/>
          <w:szCs w:val="22"/>
        </w:rPr>
        <w:t>419</w:t>
      </w:r>
      <w:r w:rsidRPr="00EB57C1">
        <w:rPr>
          <w:rFonts w:ascii="Georgia" w:hAnsi="Georgia"/>
          <w:sz w:val="22"/>
          <w:szCs w:val="22"/>
        </w:rPr>
        <w:t>) that would provide a 20</w:t>
      </w:r>
      <w:r w:rsidR="00F05B78">
        <w:rPr>
          <w:rFonts w:ascii="Georgia" w:hAnsi="Georgia"/>
          <w:sz w:val="22"/>
          <w:szCs w:val="22"/>
        </w:rPr>
        <w:t>-</w:t>
      </w:r>
      <w:r w:rsidRPr="00EB57C1">
        <w:rPr>
          <w:rFonts w:ascii="Georgia" w:hAnsi="Georgia"/>
          <w:sz w:val="22"/>
          <w:szCs w:val="22"/>
        </w:rPr>
        <w:t xml:space="preserve">percent tax credit to convert office buildings into other uses, including residential use. </w:t>
      </w:r>
      <w:r w:rsidR="00E023FE">
        <w:rPr>
          <w:rFonts w:ascii="Georgia" w:hAnsi="Georgia"/>
          <w:sz w:val="22"/>
          <w:szCs w:val="22"/>
        </w:rPr>
        <w:t xml:space="preserve">Senator Stabenow introduced the measure (S. 2511) </w:t>
      </w:r>
      <w:r w:rsidR="00F05B78">
        <w:rPr>
          <w:rFonts w:ascii="Georgia" w:hAnsi="Georgia"/>
          <w:sz w:val="22"/>
          <w:szCs w:val="22"/>
        </w:rPr>
        <w:t xml:space="preserve">in the </w:t>
      </w:r>
      <w:r w:rsidR="00E023FE">
        <w:rPr>
          <w:rFonts w:ascii="Georgia" w:hAnsi="Georgia"/>
          <w:sz w:val="22"/>
          <w:szCs w:val="22"/>
        </w:rPr>
        <w:t>last Congress.</w:t>
      </w:r>
    </w:p>
    <w:p w14:paraId="378E3061" w14:textId="77777777" w:rsidR="003B582C" w:rsidRPr="00EB57C1" w:rsidRDefault="003B582C" w:rsidP="00E83B70">
      <w:pPr>
        <w:ind w:left="-475" w:right="-187"/>
        <w:jc w:val="both"/>
        <w:rPr>
          <w:rFonts w:ascii="Georgia" w:hAnsi="Georgia"/>
          <w:sz w:val="22"/>
          <w:szCs w:val="22"/>
        </w:rPr>
      </w:pPr>
    </w:p>
    <w:p w14:paraId="64E2D9D2" w14:textId="34653D6A" w:rsidR="00000E1C" w:rsidRPr="00EB57C1" w:rsidRDefault="0048262F" w:rsidP="00E83B70">
      <w:pPr>
        <w:pStyle w:val="NormalWeb"/>
        <w:spacing w:before="0" w:beforeAutospacing="0" w:after="0" w:afterAutospacing="0"/>
        <w:ind w:left="-475" w:right="-187"/>
        <w:jc w:val="both"/>
        <w:rPr>
          <w:rFonts w:ascii="Georgia" w:hAnsi="Georgia"/>
          <w:sz w:val="22"/>
          <w:szCs w:val="22"/>
        </w:rPr>
      </w:pPr>
      <w:r w:rsidRPr="0048262F">
        <w:rPr>
          <w:rFonts w:ascii="Georgia" w:hAnsi="Georgia"/>
          <w:sz w:val="22"/>
          <w:szCs w:val="22"/>
        </w:rPr>
        <w:t>The real</w:t>
      </w:r>
      <w:r w:rsidR="00CC2AB8">
        <w:rPr>
          <w:rFonts w:ascii="Georgia" w:hAnsi="Georgia"/>
          <w:sz w:val="22"/>
          <w:szCs w:val="22"/>
        </w:rPr>
        <w:t>-</w:t>
      </w:r>
      <w:r w:rsidRPr="0048262F">
        <w:rPr>
          <w:rFonts w:ascii="Georgia" w:hAnsi="Georgia"/>
          <w:sz w:val="22"/>
          <w:szCs w:val="22"/>
        </w:rPr>
        <w:t xml:space="preserve">estate industry is actively working with lawmakers on both sides of the aisle – </w:t>
      </w:r>
      <w:r w:rsidR="00F05B78">
        <w:rPr>
          <w:rFonts w:ascii="Georgia" w:hAnsi="Georgia"/>
          <w:sz w:val="22"/>
          <w:szCs w:val="22"/>
        </w:rPr>
        <w:t>Representatives</w:t>
      </w:r>
      <w:r w:rsidRPr="0048262F">
        <w:rPr>
          <w:rFonts w:ascii="Georgia" w:hAnsi="Georgia"/>
          <w:sz w:val="22"/>
          <w:szCs w:val="22"/>
        </w:rPr>
        <w:t xml:space="preserve"> Carey and Gomez and</w:t>
      </w:r>
      <w:r w:rsidR="00F05B78">
        <w:rPr>
          <w:rFonts w:ascii="Georgia" w:hAnsi="Georgia"/>
          <w:sz w:val="22"/>
          <w:szCs w:val="22"/>
        </w:rPr>
        <w:t xml:space="preserve"> Senator</w:t>
      </w:r>
      <w:r w:rsidRPr="0048262F">
        <w:rPr>
          <w:rFonts w:ascii="Georgia" w:hAnsi="Georgia"/>
          <w:sz w:val="22"/>
          <w:szCs w:val="22"/>
        </w:rPr>
        <w:t xml:space="preserve"> Stabenow – to improve the measure and ensure bipartisan support. </w:t>
      </w:r>
      <w:r>
        <w:rPr>
          <w:rFonts w:ascii="Georgia" w:hAnsi="Georgia"/>
          <w:sz w:val="22"/>
          <w:szCs w:val="22"/>
        </w:rPr>
        <w:t xml:space="preserve">The enhancements would </w:t>
      </w:r>
      <w:r w:rsidRPr="00EB57C1">
        <w:rPr>
          <w:rFonts w:ascii="Georgia" w:hAnsi="Georgia"/>
          <w:sz w:val="22"/>
          <w:szCs w:val="22"/>
        </w:rPr>
        <w:t xml:space="preserve">enable other types of commercial properties (e.g., shopping centers and hotels) to qualify for the tax incentive; ensure REITs could utilize the benefit; and clarify that the credit does not reduce other tax benefits including the LIHTC. </w:t>
      </w:r>
    </w:p>
    <w:p w14:paraId="6DCB2C4C" w14:textId="77777777" w:rsidR="00000E1C" w:rsidRPr="00EB57C1" w:rsidRDefault="00000E1C" w:rsidP="00E83B70">
      <w:pPr>
        <w:ind w:left="-475" w:right="-187"/>
        <w:jc w:val="both"/>
        <w:rPr>
          <w:rFonts w:ascii="Georgia" w:hAnsi="Georgia"/>
          <w:sz w:val="22"/>
          <w:szCs w:val="22"/>
        </w:rPr>
      </w:pPr>
    </w:p>
    <w:p w14:paraId="266F45BD" w14:textId="18218419" w:rsidR="00000E1C"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lastRenderedPageBreak/>
        <w:t xml:space="preserve">Additionally, the multifamily industry would encourage Congress to explore whether tax-exempt private activity bonds could be used </w:t>
      </w:r>
      <w:r w:rsidR="00F05B78">
        <w:rPr>
          <w:rFonts w:ascii="Georgia" w:hAnsi="Georgia"/>
          <w:sz w:val="22"/>
          <w:szCs w:val="22"/>
        </w:rPr>
        <w:t xml:space="preserve">to promote </w:t>
      </w:r>
      <w:r w:rsidRPr="00EB57C1">
        <w:rPr>
          <w:rFonts w:ascii="Georgia" w:hAnsi="Georgia"/>
          <w:sz w:val="22"/>
          <w:szCs w:val="22"/>
        </w:rPr>
        <w:t xml:space="preserve">adaptive reuse. Housing finance agencies could issue such bonds to help facilitate adaptive reuse of underutilized properties, particularly in areas that have a plan to track discriminatory land use policies as envisioned by the </w:t>
      </w:r>
      <w:r w:rsidRPr="00EB57C1">
        <w:rPr>
          <w:rFonts w:ascii="Georgia" w:hAnsi="Georgia"/>
          <w:i/>
          <w:iCs/>
          <w:sz w:val="22"/>
          <w:szCs w:val="22"/>
        </w:rPr>
        <w:t xml:space="preserve">Yes </w:t>
      </w:r>
      <w:proofErr w:type="gramStart"/>
      <w:r w:rsidRPr="00EB57C1">
        <w:rPr>
          <w:rFonts w:ascii="Georgia" w:hAnsi="Georgia"/>
          <w:i/>
          <w:iCs/>
          <w:sz w:val="22"/>
          <w:szCs w:val="22"/>
        </w:rPr>
        <w:t>In</w:t>
      </w:r>
      <w:proofErr w:type="gramEnd"/>
      <w:r w:rsidRPr="00EB57C1">
        <w:rPr>
          <w:rFonts w:ascii="Georgia" w:hAnsi="Georgia"/>
          <w:i/>
          <w:iCs/>
          <w:sz w:val="22"/>
          <w:szCs w:val="22"/>
        </w:rPr>
        <w:t xml:space="preserve"> My Backyard Act (YIMBY Act)</w:t>
      </w:r>
      <w:r w:rsidR="000967B7">
        <w:rPr>
          <w:rFonts w:ascii="Georgia" w:hAnsi="Georgia"/>
          <w:i/>
          <w:iCs/>
          <w:sz w:val="22"/>
          <w:szCs w:val="22"/>
        </w:rPr>
        <w:t xml:space="preserve"> </w:t>
      </w:r>
      <w:r w:rsidR="000967B7">
        <w:rPr>
          <w:rFonts w:ascii="Georgia" w:hAnsi="Georgia"/>
          <w:sz w:val="22"/>
          <w:szCs w:val="22"/>
        </w:rPr>
        <w:t>(H.R. 3507 / S. 1688)</w:t>
      </w:r>
      <w:r w:rsidRPr="00EB57C1">
        <w:rPr>
          <w:rFonts w:ascii="Georgia" w:hAnsi="Georgia"/>
          <w:sz w:val="22"/>
          <w:szCs w:val="22"/>
        </w:rPr>
        <w:t>. NMHC and NAA strongly support this legislation</w:t>
      </w:r>
      <w:r w:rsidR="00CC11FF">
        <w:rPr>
          <w:rFonts w:ascii="Georgia" w:hAnsi="Georgia"/>
          <w:sz w:val="22"/>
          <w:szCs w:val="22"/>
        </w:rPr>
        <w:t>,</w:t>
      </w:r>
      <w:r w:rsidRPr="00EB57C1">
        <w:rPr>
          <w:rFonts w:ascii="Georgia" w:hAnsi="Georgia"/>
          <w:sz w:val="22"/>
          <w:szCs w:val="22"/>
        </w:rPr>
        <w:t xml:space="preserve"> which requires recipients of Community Development Block Grants to provide information on how they are reducing local barriers to housing development.</w:t>
      </w:r>
    </w:p>
    <w:p w14:paraId="15D32D51" w14:textId="77777777" w:rsidR="00ED0687" w:rsidRDefault="00ED0687" w:rsidP="00E83B70">
      <w:pPr>
        <w:pStyle w:val="NormalWeb"/>
        <w:spacing w:before="0" w:beforeAutospacing="0" w:after="0" w:afterAutospacing="0"/>
        <w:ind w:left="-475" w:right="-187"/>
        <w:jc w:val="both"/>
        <w:rPr>
          <w:rFonts w:ascii="Georgia" w:hAnsi="Georgia"/>
          <w:sz w:val="22"/>
          <w:szCs w:val="22"/>
        </w:rPr>
      </w:pPr>
    </w:p>
    <w:p w14:paraId="6E058337" w14:textId="77777777" w:rsidR="00A34C34" w:rsidRDefault="00A34C34" w:rsidP="00E83B70">
      <w:pPr>
        <w:pStyle w:val="NormalWeb"/>
        <w:spacing w:before="0" w:beforeAutospacing="0" w:after="0" w:afterAutospacing="0"/>
        <w:ind w:left="-475" w:right="-187"/>
        <w:jc w:val="both"/>
        <w:rPr>
          <w:rFonts w:ascii="Georgia" w:hAnsi="Georgia"/>
          <w:b/>
          <w:bCs/>
          <w:sz w:val="22"/>
          <w:szCs w:val="22"/>
        </w:rPr>
      </w:pPr>
    </w:p>
    <w:p w14:paraId="617E451B" w14:textId="0999D824" w:rsidR="00ED0687" w:rsidRPr="00452E91" w:rsidRDefault="00000000" w:rsidP="00E83B70">
      <w:pPr>
        <w:pStyle w:val="NormalWeb"/>
        <w:spacing w:before="0" w:beforeAutospacing="0" w:after="0" w:afterAutospacing="0"/>
        <w:ind w:left="-475" w:right="-187"/>
        <w:jc w:val="both"/>
        <w:rPr>
          <w:rFonts w:ascii="Georgia" w:hAnsi="Georgia"/>
          <w:b/>
          <w:bCs/>
          <w:sz w:val="22"/>
          <w:szCs w:val="22"/>
        </w:rPr>
      </w:pPr>
      <w:r w:rsidRPr="00452E91">
        <w:rPr>
          <w:rFonts w:ascii="Georgia" w:hAnsi="Georgia"/>
          <w:b/>
          <w:bCs/>
          <w:sz w:val="22"/>
          <w:szCs w:val="22"/>
        </w:rPr>
        <w:t>OPPOSE ONEROUS REVENUE RAISERS DISRUPTING CAPITAL FLOWS TO THE MULTIFAMILY INDUSTRY</w:t>
      </w:r>
    </w:p>
    <w:p w14:paraId="442DFDFE" w14:textId="77777777" w:rsidR="00ED0687" w:rsidRDefault="00ED0687" w:rsidP="00E83B70">
      <w:pPr>
        <w:pStyle w:val="NormalWeb"/>
        <w:spacing w:before="0" w:beforeAutospacing="0" w:after="0" w:afterAutospacing="0"/>
        <w:ind w:left="-475" w:right="-187"/>
        <w:jc w:val="both"/>
        <w:rPr>
          <w:rFonts w:ascii="Georgia" w:hAnsi="Georgia"/>
          <w:sz w:val="22"/>
          <w:szCs w:val="22"/>
        </w:rPr>
      </w:pPr>
    </w:p>
    <w:p w14:paraId="3375C34E" w14:textId="1855BDD3" w:rsidR="00452E91" w:rsidRDefault="00000000" w:rsidP="00552215">
      <w:pPr>
        <w:ind w:left="-475" w:right="-187"/>
        <w:jc w:val="both"/>
        <w:rPr>
          <w:rFonts w:ascii="Georgia" w:hAnsi="Georgia"/>
          <w:sz w:val="22"/>
          <w:szCs w:val="22"/>
        </w:rPr>
      </w:pPr>
      <w:r>
        <w:rPr>
          <w:rFonts w:ascii="Georgia" w:hAnsi="Georgia"/>
          <w:sz w:val="22"/>
          <w:szCs w:val="22"/>
        </w:rPr>
        <w:t>W</w:t>
      </w:r>
      <w:r w:rsidRPr="00452E91">
        <w:rPr>
          <w:rFonts w:ascii="Georgia" w:hAnsi="Georgia"/>
          <w:sz w:val="22"/>
          <w:szCs w:val="22"/>
        </w:rPr>
        <w:t xml:space="preserve">e </w:t>
      </w:r>
      <w:r>
        <w:rPr>
          <w:rFonts w:ascii="Georgia" w:hAnsi="Georgia"/>
          <w:sz w:val="22"/>
          <w:szCs w:val="22"/>
        </w:rPr>
        <w:t xml:space="preserve">strongly support the extension of </w:t>
      </w:r>
      <w:r>
        <w:rPr>
          <w:rFonts w:ascii="Georgia" w:hAnsi="Georgia"/>
          <w:i/>
          <w:iCs/>
          <w:sz w:val="22"/>
          <w:szCs w:val="22"/>
        </w:rPr>
        <w:t xml:space="preserve">TCJA </w:t>
      </w:r>
      <w:r>
        <w:rPr>
          <w:rFonts w:ascii="Georgia" w:hAnsi="Georgia"/>
          <w:sz w:val="22"/>
          <w:szCs w:val="22"/>
        </w:rPr>
        <w:t xml:space="preserve">provisions affecting </w:t>
      </w:r>
      <w:r w:rsidR="00CC11FF">
        <w:rPr>
          <w:rFonts w:ascii="Georgia" w:hAnsi="Georgia"/>
          <w:sz w:val="22"/>
          <w:szCs w:val="22"/>
        </w:rPr>
        <w:t xml:space="preserve">individual </w:t>
      </w:r>
      <w:r>
        <w:rPr>
          <w:rFonts w:ascii="Georgia" w:hAnsi="Georgia"/>
          <w:sz w:val="22"/>
          <w:szCs w:val="22"/>
        </w:rPr>
        <w:t>tax rates, the 20</w:t>
      </w:r>
      <w:r w:rsidR="00CC11FF">
        <w:rPr>
          <w:rFonts w:ascii="Georgia" w:hAnsi="Georgia"/>
          <w:sz w:val="22"/>
          <w:szCs w:val="22"/>
        </w:rPr>
        <w:t>-</w:t>
      </w:r>
      <w:r>
        <w:rPr>
          <w:rFonts w:ascii="Georgia" w:hAnsi="Georgia"/>
          <w:sz w:val="22"/>
          <w:szCs w:val="22"/>
        </w:rPr>
        <w:t xml:space="preserve">percent qualified business income deduction, and </w:t>
      </w:r>
      <w:r w:rsidR="00CC11FF">
        <w:rPr>
          <w:rFonts w:ascii="Georgia" w:hAnsi="Georgia"/>
          <w:sz w:val="22"/>
          <w:szCs w:val="22"/>
        </w:rPr>
        <w:t xml:space="preserve">the expanded </w:t>
      </w:r>
      <w:r>
        <w:rPr>
          <w:rFonts w:ascii="Georgia" w:hAnsi="Georgia"/>
          <w:sz w:val="22"/>
          <w:szCs w:val="22"/>
        </w:rPr>
        <w:t>estate</w:t>
      </w:r>
      <w:r w:rsidR="00CC11FF">
        <w:rPr>
          <w:rFonts w:ascii="Georgia" w:hAnsi="Georgia"/>
          <w:sz w:val="22"/>
          <w:szCs w:val="22"/>
        </w:rPr>
        <w:t>-</w:t>
      </w:r>
      <w:r>
        <w:rPr>
          <w:rFonts w:ascii="Georgia" w:hAnsi="Georgia"/>
          <w:sz w:val="22"/>
          <w:szCs w:val="22"/>
        </w:rPr>
        <w:t xml:space="preserve">tax </w:t>
      </w:r>
      <w:r w:rsidR="00CC11FF">
        <w:rPr>
          <w:rFonts w:ascii="Georgia" w:hAnsi="Georgia"/>
          <w:sz w:val="22"/>
          <w:szCs w:val="22"/>
        </w:rPr>
        <w:t>exemption</w:t>
      </w:r>
      <w:r>
        <w:rPr>
          <w:rFonts w:ascii="Georgia" w:hAnsi="Georgia"/>
          <w:sz w:val="22"/>
          <w:szCs w:val="22"/>
        </w:rPr>
        <w:t>, while also encouraging Congress to use a potential 2025 tax bill to include incentives boosting housing supply.</w:t>
      </w:r>
      <w:r w:rsidRPr="00452E91">
        <w:rPr>
          <w:rFonts w:ascii="Georgia" w:hAnsi="Georgia"/>
          <w:sz w:val="22"/>
          <w:szCs w:val="22"/>
        </w:rPr>
        <w:t xml:space="preserve"> </w:t>
      </w:r>
      <w:r>
        <w:rPr>
          <w:rFonts w:ascii="Georgia" w:hAnsi="Georgia"/>
          <w:sz w:val="22"/>
          <w:szCs w:val="22"/>
        </w:rPr>
        <w:t>W</w:t>
      </w:r>
      <w:r w:rsidRPr="00452E91">
        <w:rPr>
          <w:rFonts w:ascii="Georgia" w:hAnsi="Georgia"/>
          <w:sz w:val="22"/>
          <w:szCs w:val="22"/>
        </w:rPr>
        <w:t>e are concerned</w:t>
      </w:r>
      <w:r>
        <w:rPr>
          <w:rFonts w:ascii="Georgia" w:hAnsi="Georgia"/>
          <w:sz w:val="22"/>
          <w:szCs w:val="22"/>
        </w:rPr>
        <w:t>, however,</w:t>
      </w:r>
      <w:r w:rsidRPr="00452E91">
        <w:rPr>
          <w:rFonts w:ascii="Georgia" w:hAnsi="Georgia"/>
          <w:sz w:val="22"/>
          <w:szCs w:val="22"/>
        </w:rPr>
        <w:t xml:space="preserve"> about revenue-raising proposals that would negatively </w:t>
      </w:r>
      <w:r>
        <w:rPr>
          <w:rFonts w:ascii="Georgia" w:hAnsi="Georgia"/>
          <w:sz w:val="22"/>
          <w:szCs w:val="22"/>
        </w:rPr>
        <w:t>affect</w:t>
      </w:r>
      <w:r w:rsidRPr="00452E91">
        <w:rPr>
          <w:rFonts w:ascii="Georgia" w:hAnsi="Georgia"/>
          <w:sz w:val="22"/>
          <w:szCs w:val="22"/>
        </w:rPr>
        <w:t xml:space="preserve"> the housing industry and ultimately limit the supply of housing. Specifically, we urge Congress to reject proposals </w:t>
      </w:r>
      <w:r w:rsidR="00552215">
        <w:rPr>
          <w:rFonts w:ascii="Georgia" w:hAnsi="Georgia"/>
          <w:sz w:val="22"/>
          <w:szCs w:val="22"/>
        </w:rPr>
        <w:t>in President Biden’s Fiscal Year 2025 Budget that would limit capital flowing to the multifamily industry, including those that would</w:t>
      </w:r>
      <w:r w:rsidRPr="00452E91">
        <w:rPr>
          <w:rFonts w:ascii="Georgia" w:hAnsi="Georgia"/>
          <w:sz w:val="22"/>
          <w:szCs w:val="22"/>
        </w:rPr>
        <w:t>:</w:t>
      </w:r>
    </w:p>
    <w:p w14:paraId="47D24C7F" w14:textId="77777777" w:rsidR="00552215" w:rsidRPr="00452E91" w:rsidRDefault="00552215" w:rsidP="00552215">
      <w:pPr>
        <w:ind w:left="-475" w:right="-187"/>
        <w:jc w:val="both"/>
        <w:rPr>
          <w:rFonts w:ascii="Georgia" w:hAnsi="Georgia"/>
          <w:sz w:val="22"/>
          <w:szCs w:val="22"/>
        </w:rPr>
      </w:pPr>
    </w:p>
    <w:p w14:paraId="4340ECAE" w14:textId="3CF6FCB5" w:rsidR="00CC11FF" w:rsidRDefault="00000000" w:rsidP="00056D95">
      <w:pPr>
        <w:pStyle w:val="ListParagraph"/>
        <w:numPr>
          <w:ilvl w:val="0"/>
          <w:numId w:val="29"/>
        </w:numPr>
        <w:spacing w:after="120"/>
        <w:ind w:left="245" w:right="-187"/>
        <w:contextualSpacing w:val="0"/>
        <w:jc w:val="both"/>
        <w:rPr>
          <w:rFonts w:ascii="Georgia" w:hAnsi="Georgia"/>
          <w:sz w:val="22"/>
          <w:szCs w:val="22"/>
        </w:rPr>
      </w:pPr>
      <w:r w:rsidRPr="00452E91">
        <w:rPr>
          <w:rFonts w:ascii="Georgia" w:hAnsi="Georgia"/>
          <w:sz w:val="22"/>
          <w:szCs w:val="22"/>
        </w:rPr>
        <w:t xml:space="preserve">Increase the top </w:t>
      </w:r>
      <w:r>
        <w:rPr>
          <w:rFonts w:ascii="Georgia" w:hAnsi="Georgia"/>
          <w:sz w:val="22"/>
          <w:szCs w:val="22"/>
        </w:rPr>
        <w:t xml:space="preserve">individual </w:t>
      </w:r>
      <w:r w:rsidRPr="00452E91">
        <w:rPr>
          <w:rFonts w:ascii="Georgia" w:hAnsi="Georgia"/>
          <w:sz w:val="22"/>
          <w:szCs w:val="22"/>
        </w:rPr>
        <w:t xml:space="preserve">marginal </w:t>
      </w:r>
      <w:r w:rsidR="005C6C13">
        <w:rPr>
          <w:rFonts w:ascii="Georgia" w:hAnsi="Georgia"/>
          <w:sz w:val="22"/>
          <w:szCs w:val="22"/>
        </w:rPr>
        <w:t xml:space="preserve">individual </w:t>
      </w:r>
      <w:r w:rsidRPr="00452E91">
        <w:rPr>
          <w:rFonts w:ascii="Georgia" w:hAnsi="Georgia"/>
          <w:sz w:val="22"/>
          <w:szCs w:val="22"/>
        </w:rPr>
        <w:t xml:space="preserve">income and capital gains tax </w:t>
      </w:r>
      <w:proofErr w:type="gramStart"/>
      <w:r w:rsidRPr="00452E91">
        <w:rPr>
          <w:rFonts w:ascii="Georgia" w:hAnsi="Georgia"/>
          <w:sz w:val="22"/>
          <w:szCs w:val="22"/>
        </w:rPr>
        <w:t>rates</w:t>
      </w:r>
      <w:r w:rsidR="005C6C13">
        <w:rPr>
          <w:rFonts w:ascii="Georgia" w:hAnsi="Georgia"/>
          <w:sz w:val="22"/>
          <w:szCs w:val="22"/>
        </w:rPr>
        <w:t>;</w:t>
      </w:r>
      <w:proofErr w:type="gramEnd"/>
    </w:p>
    <w:p w14:paraId="69CD70B6" w14:textId="56A4EDCF" w:rsidR="00452E91"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Pr>
          <w:rFonts w:ascii="Georgia" w:hAnsi="Georgia"/>
          <w:sz w:val="22"/>
          <w:szCs w:val="22"/>
        </w:rPr>
        <w:t>I</w:t>
      </w:r>
      <w:r w:rsidR="00093D4C">
        <w:rPr>
          <w:rFonts w:ascii="Georgia" w:hAnsi="Georgia"/>
          <w:sz w:val="22"/>
          <w:szCs w:val="22"/>
        </w:rPr>
        <w:t xml:space="preserve">mpose the net investment income tax </w:t>
      </w:r>
      <w:r w:rsidR="005C6C13">
        <w:rPr>
          <w:rFonts w:ascii="Georgia" w:hAnsi="Georgia"/>
          <w:sz w:val="22"/>
          <w:szCs w:val="22"/>
        </w:rPr>
        <w:t xml:space="preserve">(NIIT) </w:t>
      </w:r>
      <w:r w:rsidR="00093D4C">
        <w:rPr>
          <w:rFonts w:ascii="Georgia" w:hAnsi="Georgia"/>
          <w:sz w:val="22"/>
          <w:szCs w:val="22"/>
        </w:rPr>
        <w:t xml:space="preserve">on active income while increasing the </w:t>
      </w:r>
      <w:r>
        <w:rPr>
          <w:rFonts w:ascii="Georgia" w:hAnsi="Georgia"/>
          <w:sz w:val="22"/>
          <w:szCs w:val="22"/>
        </w:rPr>
        <w:t xml:space="preserve">NIIT </w:t>
      </w:r>
      <w:proofErr w:type="gramStart"/>
      <w:r w:rsidR="00093D4C">
        <w:rPr>
          <w:rFonts w:ascii="Georgia" w:hAnsi="Georgia"/>
          <w:sz w:val="22"/>
          <w:szCs w:val="22"/>
        </w:rPr>
        <w:t>rate;</w:t>
      </w:r>
      <w:proofErr w:type="gramEnd"/>
    </w:p>
    <w:p w14:paraId="0969E863" w14:textId="643484F6" w:rsidR="00552215"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sidRPr="00452E91">
        <w:rPr>
          <w:rFonts w:ascii="Georgia" w:hAnsi="Georgia"/>
          <w:sz w:val="22"/>
          <w:szCs w:val="22"/>
        </w:rPr>
        <w:t xml:space="preserve">Limit deferral of taxable gain from </w:t>
      </w:r>
      <w:proofErr w:type="gramStart"/>
      <w:r w:rsidRPr="00452E91">
        <w:rPr>
          <w:rFonts w:ascii="Georgia" w:hAnsi="Georgia"/>
          <w:sz w:val="22"/>
          <w:szCs w:val="22"/>
        </w:rPr>
        <w:t>like-kind</w:t>
      </w:r>
      <w:proofErr w:type="gramEnd"/>
      <w:r w:rsidRPr="00452E91">
        <w:rPr>
          <w:rFonts w:ascii="Georgia" w:hAnsi="Georgia"/>
          <w:sz w:val="22"/>
          <w:szCs w:val="22"/>
        </w:rPr>
        <w:t xml:space="preserve"> exchange</w:t>
      </w:r>
      <w:r w:rsidR="00CC11FF">
        <w:rPr>
          <w:rFonts w:ascii="Georgia" w:hAnsi="Georgia"/>
          <w:sz w:val="22"/>
          <w:szCs w:val="22"/>
        </w:rPr>
        <w:t>s</w:t>
      </w:r>
      <w:r>
        <w:rPr>
          <w:rFonts w:ascii="Georgia" w:hAnsi="Georgia"/>
          <w:sz w:val="22"/>
          <w:szCs w:val="22"/>
        </w:rPr>
        <w:t>;</w:t>
      </w:r>
    </w:p>
    <w:p w14:paraId="3F04D184" w14:textId="77777777" w:rsidR="00452E91"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sidRPr="00452E91">
        <w:rPr>
          <w:rFonts w:ascii="Georgia" w:hAnsi="Georgia"/>
          <w:sz w:val="22"/>
          <w:szCs w:val="22"/>
        </w:rPr>
        <w:t xml:space="preserve">Tax carried interest as ordinary </w:t>
      </w:r>
      <w:proofErr w:type="gramStart"/>
      <w:r w:rsidRPr="00452E91">
        <w:rPr>
          <w:rFonts w:ascii="Georgia" w:hAnsi="Georgia"/>
          <w:sz w:val="22"/>
          <w:szCs w:val="22"/>
        </w:rPr>
        <w:t>income;</w:t>
      </w:r>
      <w:proofErr w:type="gramEnd"/>
    </w:p>
    <w:p w14:paraId="45D2D57D" w14:textId="2EF50A53" w:rsidR="00552215" w:rsidRPr="00452E91" w:rsidRDefault="00000000" w:rsidP="00056D95">
      <w:pPr>
        <w:pStyle w:val="ListParagraph"/>
        <w:numPr>
          <w:ilvl w:val="0"/>
          <w:numId w:val="29"/>
        </w:numPr>
        <w:spacing w:after="120"/>
        <w:ind w:left="245" w:right="-187"/>
        <w:contextualSpacing w:val="0"/>
        <w:jc w:val="both"/>
        <w:rPr>
          <w:rFonts w:ascii="Georgia" w:hAnsi="Georgia"/>
          <w:sz w:val="22"/>
          <w:szCs w:val="22"/>
        </w:rPr>
      </w:pPr>
      <w:r>
        <w:rPr>
          <w:rFonts w:ascii="Georgia" w:hAnsi="Georgia"/>
          <w:sz w:val="22"/>
          <w:szCs w:val="22"/>
        </w:rPr>
        <w:t>Tax unrealized capital gains at death;</w:t>
      </w:r>
      <w:r w:rsidR="00A34C34">
        <w:rPr>
          <w:rFonts w:ascii="Georgia" w:hAnsi="Georgia"/>
          <w:sz w:val="22"/>
          <w:szCs w:val="22"/>
        </w:rPr>
        <w:t xml:space="preserve"> and</w:t>
      </w:r>
    </w:p>
    <w:p w14:paraId="4454EB03" w14:textId="5041B23D" w:rsidR="00452E91" w:rsidRPr="00452E91" w:rsidRDefault="00000000" w:rsidP="00552215">
      <w:pPr>
        <w:pStyle w:val="ListParagraph"/>
        <w:numPr>
          <w:ilvl w:val="0"/>
          <w:numId w:val="29"/>
        </w:numPr>
        <w:spacing w:after="240"/>
        <w:ind w:left="245" w:right="-187"/>
        <w:jc w:val="both"/>
        <w:rPr>
          <w:rFonts w:ascii="Georgia" w:eastAsia="Georgia" w:hAnsi="Georgia" w:cs="Georgia"/>
          <w:sz w:val="22"/>
          <w:szCs w:val="22"/>
        </w:rPr>
      </w:pPr>
      <w:r w:rsidRPr="00452E91">
        <w:rPr>
          <w:rFonts w:ascii="Georgia" w:eastAsia="Georgia" w:hAnsi="Georgia" w:cs="Georgia"/>
          <w:sz w:val="22"/>
          <w:szCs w:val="22"/>
        </w:rPr>
        <w:t>Require 100</w:t>
      </w:r>
      <w:r w:rsidR="00CC11FF">
        <w:rPr>
          <w:rFonts w:ascii="Georgia" w:eastAsia="Georgia" w:hAnsi="Georgia" w:cs="Georgia"/>
          <w:sz w:val="22"/>
          <w:szCs w:val="22"/>
        </w:rPr>
        <w:t>-</w:t>
      </w:r>
      <w:r w:rsidRPr="00452E91">
        <w:rPr>
          <w:rFonts w:ascii="Georgia" w:eastAsia="Georgia" w:hAnsi="Georgia" w:cs="Georgia"/>
          <w:sz w:val="22"/>
          <w:szCs w:val="22"/>
        </w:rPr>
        <w:t>percent recapture of depreciation deductions as ordinary income for real estate</w:t>
      </w:r>
      <w:r w:rsidR="00552215">
        <w:rPr>
          <w:rFonts w:ascii="Georgia" w:eastAsia="Georgia" w:hAnsi="Georgia" w:cs="Georgia"/>
          <w:sz w:val="22"/>
          <w:szCs w:val="22"/>
        </w:rPr>
        <w:t>.</w:t>
      </w:r>
    </w:p>
    <w:p w14:paraId="08C89A53" w14:textId="0774FCE9" w:rsidR="00452E91" w:rsidRDefault="00000000" w:rsidP="00552215">
      <w:pPr>
        <w:ind w:left="-475" w:right="-187"/>
        <w:jc w:val="both"/>
        <w:rPr>
          <w:rFonts w:ascii="Georgia" w:hAnsi="Georgia"/>
          <w:sz w:val="22"/>
          <w:szCs w:val="22"/>
        </w:rPr>
      </w:pPr>
      <w:r w:rsidRPr="00452E91">
        <w:rPr>
          <w:rFonts w:ascii="Georgia" w:hAnsi="Georgia"/>
          <w:sz w:val="22"/>
          <w:szCs w:val="22"/>
        </w:rPr>
        <w:t xml:space="preserve">These proposals would directly </w:t>
      </w:r>
      <w:r w:rsidR="00034B7F">
        <w:rPr>
          <w:rFonts w:ascii="Georgia" w:hAnsi="Georgia"/>
          <w:sz w:val="22"/>
          <w:szCs w:val="22"/>
        </w:rPr>
        <w:t>affect</w:t>
      </w:r>
      <w:r w:rsidR="00034B7F" w:rsidRPr="00452E91">
        <w:rPr>
          <w:rFonts w:ascii="Georgia" w:hAnsi="Georgia"/>
          <w:sz w:val="22"/>
          <w:szCs w:val="22"/>
        </w:rPr>
        <w:t xml:space="preserve"> </w:t>
      </w:r>
      <w:r w:rsidRPr="00452E91">
        <w:rPr>
          <w:rFonts w:ascii="Georgia" w:hAnsi="Georgia"/>
          <w:sz w:val="22"/>
          <w:szCs w:val="22"/>
        </w:rPr>
        <w:t>the operations of housing providers</w:t>
      </w:r>
      <w:r w:rsidR="00552215">
        <w:rPr>
          <w:rFonts w:ascii="Georgia" w:hAnsi="Georgia"/>
          <w:sz w:val="22"/>
          <w:szCs w:val="22"/>
        </w:rPr>
        <w:t xml:space="preserve"> by</w:t>
      </w:r>
      <w:r w:rsidRPr="00452E91">
        <w:rPr>
          <w:rFonts w:ascii="Georgia" w:hAnsi="Georgia"/>
          <w:sz w:val="22"/>
          <w:szCs w:val="22"/>
        </w:rPr>
        <w:t xml:space="preserve"> </w:t>
      </w:r>
      <w:r w:rsidR="00552215">
        <w:rPr>
          <w:rFonts w:ascii="Georgia" w:hAnsi="Georgia"/>
          <w:sz w:val="22"/>
          <w:szCs w:val="22"/>
        </w:rPr>
        <w:t>reducing</w:t>
      </w:r>
      <w:r w:rsidRPr="00452E91">
        <w:rPr>
          <w:rFonts w:ascii="Georgia" w:hAnsi="Georgia"/>
          <w:sz w:val="22"/>
          <w:szCs w:val="22"/>
        </w:rPr>
        <w:t xml:space="preserve"> real</w:t>
      </w:r>
      <w:r w:rsidR="00CC2AB8">
        <w:rPr>
          <w:rFonts w:ascii="Georgia" w:hAnsi="Georgia"/>
          <w:sz w:val="22"/>
          <w:szCs w:val="22"/>
        </w:rPr>
        <w:t>-</w:t>
      </w:r>
      <w:r w:rsidRPr="00452E91">
        <w:rPr>
          <w:rFonts w:ascii="Georgia" w:hAnsi="Georgia"/>
          <w:sz w:val="22"/>
          <w:szCs w:val="22"/>
        </w:rPr>
        <w:t xml:space="preserve">estate investment and </w:t>
      </w:r>
      <w:r w:rsidR="00552215" w:rsidRPr="00452E91">
        <w:rPr>
          <w:rFonts w:ascii="Georgia" w:hAnsi="Georgia"/>
          <w:sz w:val="22"/>
          <w:szCs w:val="22"/>
        </w:rPr>
        <w:t>inhibit</w:t>
      </w:r>
      <w:r w:rsidR="00552215">
        <w:rPr>
          <w:rFonts w:ascii="Georgia" w:hAnsi="Georgia"/>
          <w:sz w:val="22"/>
          <w:szCs w:val="22"/>
        </w:rPr>
        <w:t>ing</w:t>
      </w:r>
      <w:r w:rsidRPr="00452E91">
        <w:rPr>
          <w:rFonts w:ascii="Georgia" w:hAnsi="Georgia"/>
          <w:sz w:val="22"/>
          <w:szCs w:val="22"/>
        </w:rPr>
        <w:t xml:space="preserve"> the capital flows that are so critical to the development and preservation of critically needed housing.</w:t>
      </w:r>
    </w:p>
    <w:p w14:paraId="529496DB" w14:textId="77777777" w:rsidR="003A35F4" w:rsidRDefault="003A35F4" w:rsidP="00552215">
      <w:pPr>
        <w:ind w:left="-475" w:right="-187"/>
        <w:jc w:val="both"/>
        <w:rPr>
          <w:rFonts w:ascii="Georgia" w:hAnsi="Georgia"/>
          <w:sz w:val="22"/>
          <w:szCs w:val="22"/>
        </w:rPr>
      </w:pPr>
    </w:p>
    <w:p w14:paraId="7C598C68" w14:textId="22D69176" w:rsidR="004E6B00" w:rsidRPr="00093D4C" w:rsidRDefault="00000000" w:rsidP="00552215">
      <w:pPr>
        <w:ind w:left="-475" w:right="-187"/>
        <w:jc w:val="both"/>
        <w:rPr>
          <w:rFonts w:ascii="Georgia" w:hAnsi="Georgia"/>
          <w:b/>
          <w:bCs/>
          <w:i/>
          <w:iCs/>
          <w:sz w:val="22"/>
          <w:szCs w:val="22"/>
        </w:rPr>
      </w:pPr>
      <w:r>
        <w:rPr>
          <w:rFonts w:ascii="Georgia" w:hAnsi="Georgia"/>
          <w:b/>
          <w:bCs/>
          <w:i/>
          <w:iCs/>
          <w:sz w:val="22"/>
          <w:szCs w:val="22"/>
        </w:rPr>
        <w:t xml:space="preserve">Increase the Top </w:t>
      </w:r>
      <w:r w:rsidR="00CC11FF">
        <w:rPr>
          <w:rFonts w:ascii="Georgia" w:hAnsi="Georgia"/>
          <w:b/>
          <w:bCs/>
          <w:i/>
          <w:iCs/>
          <w:sz w:val="22"/>
          <w:szCs w:val="22"/>
        </w:rPr>
        <w:t xml:space="preserve">Individual </w:t>
      </w:r>
      <w:r>
        <w:rPr>
          <w:rFonts w:ascii="Georgia" w:hAnsi="Georgia"/>
          <w:b/>
          <w:bCs/>
          <w:i/>
          <w:iCs/>
          <w:sz w:val="22"/>
          <w:szCs w:val="22"/>
        </w:rPr>
        <w:t xml:space="preserve">Marginal Income and Capital Gains Tax Rates and Impose </w:t>
      </w:r>
      <w:r w:rsidR="00772FFE" w:rsidRPr="00093D4C">
        <w:rPr>
          <w:rFonts w:ascii="Georgia" w:hAnsi="Georgia"/>
          <w:b/>
          <w:bCs/>
          <w:i/>
          <w:iCs/>
          <w:sz w:val="22"/>
          <w:szCs w:val="22"/>
        </w:rPr>
        <w:t xml:space="preserve">the </w:t>
      </w:r>
      <w:r w:rsidRPr="00093D4C">
        <w:rPr>
          <w:rFonts w:ascii="Georgia" w:hAnsi="Georgia"/>
          <w:b/>
          <w:bCs/>
          <w:i/>
          <w:iCs/>
          <w:sz w:val="22"/>
          <w:szCs w:val="22"/>
        </w:rPr>
        <w:t>Net Investment Income Tax</w:t>
      </w:r>
      <w:r w:rsidR="005C6C13">
        <w:rPr>
          <w:rFonts w:ascii="Georgia" w:hAnsi="Georgia"/>
          <w:b/>
          <w:bCs/>
          <w:i/>
          <w:iCs/>
          <w:sz w:val="22"/>
          <w:szCs w:val="22"/>
        </w:rPr>
        <w:t xml:space="preserve"> (NIIT)</w:t>
      </w:r>
      <w:r w:rsidRPr="00093D4C">
        <w:rPr>
          <w:rFonts w:ascii="Georgia" w:hAnsi="Georgia"/>
          <w:b/>
          <w:bCs/>
          <w:i/>
          <w:iCs/>
          <w:sz w:val="22"/>
          <w:szCs w:val="22"/>
        </w:rPr>
        <w:t xml:space="preserve"> on Active Income</w:t>
      </w:r>
      <w:r w:rsidR="00291EEA" w:rsidRPr="00093D4C">
        <w:rPr>
          <w:rFonts w:ascii="Georgia" w:hAnsi="Georgia"/>
          <w:b/>
          <w:bCs/>
          <w:i/>
          <w:iCs/>
          <w:sz w:val="22"/>
          <w:szCs w:val="22"/>
        </w:rPr>
        <w:t xml:space="preserve"> </w:t>
      </w:r>
      <w:r w:rsidR="00CC11FF">
        <w:rPr>
          <w:rFonts w:ascii="Georgia" w:hAnsi="Georgia"/>
          <w:b/>
          <w:bCs/>
          <w:i/>
          <w:iCs/>
          <w:sz w:val="22"/>
          <w:szCs w:val="22"/>
        </w:rPr>
        <w:t>w</w:t>
      </w:r>
      <w:r w:rsidR="00291EEA" w:rsidRPr="00093D4C">
        <w:rPr>
          <w:rFonts w:ascii="Georgia" w:hAnsi="Georgia"/>
          <w:b/>
          <w:bCs/>
          <w:i/>
          <w:iCs/>
          <w:sz w:val="22"/>
          <w:szCs w:val="22"/>
        </w:rPr>
        <w:t xml:space="preserve">hile Increasing the </w:t>
      </w:r>
      <w:r w:rsidR="00CC11FF">
        <w:rPr>
          <w:rFonts w:ascii="Georgia" w:hAnsi="Georgia"/>
          <w:b/>
          <w:bCs/>
          <w:i/>
          <w:iCs/>
          <w:sz w:val="22"/>
          <w:szCs w:val="22"/>
        </w:rPr>
        <w:t xml:space="preserve">NIIT </w:t>
      </w:r>
      <w:r w:rsidR="00291EEA" w:rsidRPr="00093D4C">
        <w:rPr>
          <w:rFonts w:ascii="Georgia" w:hAnsi="Georgia"/>
          <w:b/>
          <w:bCs/>
          <w:i/>
          <w:iCs/>
          <w:sz w:val="22"/>
          <w:szCs w:val="22"/>
        </w:rPr>
        <w:t>Rate</w:t>
      </w:r>
    </w:p>
    <w:p w14:paraId="1311C2DA" w14:textId="77777777" w:rsidR="00551B19" w:rsidRDefault="00551B19" w:rsidP="00552215">
      <w:pPr>
        <w:ind w:left="-475" w:right="-187"/>
        <w:jc w:val="both"/>
        <w:rPr>
          <w:rFonts w:ascii="Georgia" w:hAnsi="Georgia"/>
          <w:sz w:val="22"/>
          <w:szCs w:val="22"/>
        </w:rPr>
      </w:pPr>
    </w:p>
    <w:p w14:paraId="1D197AF0" w14:textId="059BA325" w:rsidR="00551B19" w:rsidRDefault="00000000" w:rsidP="00552215">
      <w:pPr>
        <w:ind w:left="-475" w:right="-187"/>
        <w:jc w:val="both"/>
        <w:rPr>
          <w:rFonts w:ascii="Georgia" w:hAnsi="Georgia"/>
          <w:sz w:val="22"/>
          <w:szCs w:val="22"/>
        </w:rPr>
      </w:pPr>
      <w:r>
        <w:rPr>
          <w:rFonts w:ascii="Georgia" w:hAnsi="Georgia"/>
          <w:sz w:val="22"/>
          <w:szCs w:val="22"/>
        </w:rPr>
        <w:t xml:space="preserve">President Biden’s Fiscal Year 2025 Budget proposal seeks significant tax increases with respect to ordinary income and capital gains tax rates while also endeavoring to expand the net income tax to encompass active business income and increasing the </w:t>
      </w:r>
      <w:r w:rsidR="00CC11FF">
        <w:rPr>
          <w:rFonts w:ascii="Georgia" w:hAnsi="Georgia"/>
          <w:sz w:val="22"/>
          <w:szCs w:val="22"/>
        </w:rPr>
        <w:t xml:space="preserve">NIIT </w:t>
      </w:r>
      <w:r>
        <w:rPr>
          <w:rFonts w:ascii="Georgia" w:hAnsi="Georgia"/>
          <w:sz w:val="22"/>
          <w:szCs w:val="22"/>
        </w:rPr>
        <w:t xml:space="preserve">rate. While NMHC and NAA favor extending current-law </w:t>
      </w:r>
      <w:r>
        <w:rPr>
          <w:rFonts w:ascii="Georgia" w:hAnsi="Georgia"/>
          <w:i/>
          <w:iCs/>
          <w:sz w:val="22"/>
          <w:szCs w:val="22"/>
        </w:rPr>
        <w:t xml:space="preserve">TCJA </w:t>
      </w:r>
      <w:r>
        <w:rPr>
          <w:rFonts w:ascii="Georgia" w:hAnsi="Georgia"/>
          <w:sz w:val="22"/>
          <w:szCs w:val="22"/>
        </w:rPr>
        <w:t xml:space="preserve">tax rates as discussed above, President Biden’s proposals would impose a significant tax increase on the multifamily industry. This counterproductive tax increase would both reduce capital available to address the nation’s housing supply shortage and leave far </w:t>
      </w:r>
      <w:r w:rsidR="00CC11FF">
        <w:rPr>
          <w:rFonts w:ascii="Georgia" w:hAnsi="Georgia"/>
          <w:sz w:val="22"/>
          <w:szCs w:val="22"/>
        </w:rPr>
        <w:t xml:space="preserve">less operating capital for </w:t>
      </w:r>
      <w:r>
        <w:rPr>
          <w:rFonts w:ascii="Georgia" w:hAnsi="Georgia"/>
          <w:sz w:val="22"/>
          <w:szCs w:val="22"/>
        </w:rPr>
        <w:t>existing real estate.</w:t>
      </w:r>
    </w:p>
    <w:p w14:paraId="213C80EC" w14:textId="77777777" w:rsidR="00551B19" w:rsidRDefault="00551B19" w:rsidP="00552215">
      <w:pPr>
        <w:ind w:left="-475" w:right="-187"/>
        <w:jc w:val="both"/>
        <w:rPr>
          <w:rFonts w:ascii="Georgia" w:hAnsi="Georgia"/>
          <w:sz w:val="22"/>
          <w:szCs w:val="22"/>
        </w:rPr>
      </w:pPr>
    </w:p>
    <w:p w14:paraId="34899A15" w14:textId="54957EA8" w:rsidR="00551B19" w:rsidRDefault="00000000" w:rsidP="00552215">
      <w:pPr>
        <w:ind w:left="-475" w:right="-187"/>
        <w:jc w:val="both"/>
        <w:rPr>
          <w:rFonts w:ascii="Georgia" w:hAnsi="Georgia"/>
          <w:sz w:val="22"/>
          <w:szCs w:val="22"/>
        </w:rPr>
      </w:pPr>
      <w:r>
        <w:rPr>
          <w:rFonts w:ascii="Georgia" w:hAnsi="Georgia"/>
          <w:i/>
          <w:iCs/>
          <w:sz w:val="22"/>
          <w:szCs w:val="22"/>
        </w:rPr>
        <w:lastRenderedPageBreak/>
        <w:t>Ordinary Income</w:t>
      </w:r>
      <w:r w:rsidR="00291EEA">
        <w:rPr>
          <w:rFonts w:ascii="Georgia" w:hAnsi="Georgia"/>
          <w:i/>
          <w:iCs/>
          <w:sz w:val="22"/>
          <w:szCs w:val="22"/>
        </w:rPr>
        <w:t xml:space="preserve"> Rates</w:t>
      </w:r>
      <w:r w:rsidR="00093D4C">
        <w:rPr>
          <w:rFonts w:ascii="Georgia" w:hAnsi="Georgia"/>
          <w:i/>
          <w:iCs/>
          <w:sz w:val="22"/>
          <w:szCs w:val="22"/>
        </w:rPr>
        <w:t xml:space="preserve"> and Expanding the Net Investment Income Tax </w:t>
      </w:r>
      <w:r w:rsidR="00CC11FF">
        <w:rPr>
          <w:rFonts w:ascii="Georgia" w:hAnsi="Georgia"/>
          <w:i/>
          <w:iCs/>
          <w:sz w:val="22"/>
          <w:szCs w:val="22"/>
        </w:rPr>
        <w:t>w</w:t>
      </w:r>
      <w:r w:rsidR="00093D4C">
        <w:rPr>
          <w:rFonts w:ascii="Georgia" w:hAnsi="Georgia"/>
          <w:i/>
          <w:iCs/>
          <w:sz w:val="22"/>
          <w:szCs w:val="22"/>
        </w:rPr>
        <w:t xml:space="preserve">hile Increasing the </w:t>
      </w:r>
      <w:r w:rsidR="00CC11FF">
        <w:rPr>
          <w:rFonts w:ascii="Georgia" w:hAnsi="Georgia"/>
          <w:i/>
          <w:iCs/>
          <w:sz w:val="22"/>
          <w:szCs w:val="22"/>
        </w:rPr>
        <w:t xml:space="preserve">NIIT </w:t>
      </w:r>
      <w:r w:rsidR="00093D4C">
        <w:rPr>
          <w:rFonts w:ascii="Georgia" w:hAnsi="Georgia"/>
          <w:i/>
          <w:iCs/>
          <w:sz w:val="22"/>
          <w:szCs w:val="22"/>
        </w:rPr>
        <w:t>Rate</w:t>
      </w:r>
      <w:r w:rsidR="0082738F">
        <w:rPr>
          <w:rFonts w:ascii="Georgia" w:hAnsi="Georgia"/>
          <w:i/>
          <w:iCs/>
          <w:sz w:val="22"/>
          <w:szCs w:val="22"/>
        </w:rPr>
        <w:t>:</w:t>
      </w:r>
      <w:r w:rsidR="00291EEA">
        <w:rPr>
          <w:rFonts w:ascii="Georgia" w:hAnsi="Georgia"/>
          <w:i/>
          <w:iCs/>
          <w:sz w:val="22"/>
          <w:szCs w:val="22"/>
        </w:rPr>
        <w:t xml:space="preserve"> </w:t>
      </w:r>
      <w:r w:rsidRPr="00551B19">
        <w:rPr>
          <w:rFonts w:ascii="Georgia" w:hAnsi="Georgia"/>
          <w:sz w:val="22"/>
          <w:szCs w:val="22"/>
        </w:rPr>
        <w:t xml:space="preserve">The </w:t>
      </w:r>
      <w:r>
        <w:rPr>
          <w:rFonts w:ascii="Georgia" w:hAnsi="Georgia"/>
          <w:sz w:val="22"/>
          <w:szCs w:val="22"/>
        </w:rPr>
        <w:t xml:space="preserve">Biden </w:t>
      </w:r>
      <w:r w:rsidRPr="00551B19">
        <w:rPr>
          <w:rFonts w:ascii="Georgia" w:hAnsi="Georgia"/>
          <w:sz w:val="22"/>
          <w:szCs w:val="22"/>
        </w:rPr>
        <w:t xml:space="preserve">Budget would increase the </w:t>
      </w:r>
      <w:r w:rsidR="00810330">
        <w:rPr>
          <w:rFonts w:ascii="Georgia" w:hAnsi="Georgia"/>
          <w:sz w:val="22"/>
          <w:szCs w:val="22"/>
        </w:rPr>
        <w:t xml:space="preserve">current </w:t>
      </w:r>
      <w:r w:rsidRPr="00551B19">
        <w:rPr>
          <w:rFonts w:ascii="Georgia" w:hAnsi="Georgia"/>
          <w:sz w:val="22"/>
          <w:szCs w:val="22"/>
        </w:rPr>
        <w:t xml:space="preserve">top statutory marginal income tax rate </w:t>
      </w:r>
      <w:r w:rsidR="00810330">
        <w:rPr>
          <w:rFonts w:ascii="Georgia" w:hAnsi="Georgia"/>
          <w:sz w:val="22"/>
          <w:szCs w:val="22"/>
        </w:rPr>
        <w:t xml:space="preserve">of 37 percent </w:t>
      </w:r>
      <w:r w:rsidRPr="00551B19">
        <w:rPr>
          <w:rFonts w:ascii="Georgia" w:hAnsi="Georgia"/>
          <w:sz w:val="22"/>
          <w:szCs w:val="22"/>
        </w:rPr>
        <w:t xml:space="preserve">to 39.6 percent effective </w:t>
      </w:r>
      <w:r w:rsidR="00810330">
        <w:rPr>
          <w:rFonts w:ascii="Georgia" w:hAnsi="Georgia"/>
          <w:sz w:val="22"/>
          <w:szCs w:val="22"/>
        </w:rPr>
        <w:t xml:space="preserve">retroactively to </w:t>
      </w:r>
      <w:r w:rsidRPr="00551B19">
        <w:rPr>
          <w:rFonts w:ascii="Georgia" w:hAnsi="Georgia"/>
          <w:sz w:val="22"/>
          <w:szCs w:val="22"/>
        </w:rPr>
        <w:t>taxable years beginning after 2023. The increased tax rate would take effect for single filers earning over $400,000 and married filers earning over $450,000.</w:t>
      </w:r>
      <w:r>
        <w:rPr>
          <w:rStyle w:val="FootnoteReference"/>
          <w:rFonts w:ascii="Georgia" w:hAnsi="Georgia"/>
          <w:sz w:val="22"/>
          <w:szCs w:val="22"/>
        </w:rPr>
        <w:footnoteReference w:id="17"/>
      </w:r>
      <w:r w:rsidRPr="00551B19">
        <w:rPr>
          <w:rFonts w:ascii="Georgia" w:hAnsi="Georgia"/>
          <w:sz w:val="22"/>
          <w:szCs w:val="22"/>
        </w:rPr>
        <w:t xml:space="preserve"> </w:t>
      </w:r>
    </w:p>
    <w:p w14:paraId="3A97B73B" w14:textId="77777777" w:rsidR="00384D23" w:rsidRDefault="00384D23" w:rsidP="00552215">
      <w:pPr>
        <w:ind w:left="-475" w:right="-187"/>
        <w:jc w:val="both"/>
        <w:rPr>
          <w:rFonts w:ascii="Georgia" w:hAnsi="Georgia"/>
          <w:sz w:val="22"/>
          <w:szCs w:val="22"/>
        </w:rPr>
      </w:pPr>
    </w:p>
    <w:p w14:paraId="2BB90BE7" w14:textId="717C6F51" w:rsidR="00EB1A31" w:rsidRDefault="00000000" w:rsidP="00EB1A31">
      <w:pPr>
        <w:ind w:left="-475" w:right="-187"/>
        <w:jc w:val="both"/>
        <w:rPr>
          <w:rFonts w:ascii="Georgia" w:hAnsi="Georgia"/>
          <w:sz w:val="22"/>
          <w:szCs w:val="22"/>
        </w:rPr>
      </w:pPr>
      <w:r>
        <w:rPr>
          <w:rFonts w:ascii="Georgia" w:hAnsi="Georgia"/>
          <w:sz w:val="22"/>
          <w:szCs w:val="22"/>
        </w:rPr>
        <w:t xml:space="preserve">Furthermore, </w:t>
      </w:r>
      <w:r w:rsidRPr="00551B19">
        <w:rPr>
          <w:rFonts w:ascii="Georgia" w:hAnsi="Georgia"/>
          <w:sz w:val="22"/>
          <w:szCs w:val="22"/>
        </w:rPr>
        <w:t xml:space="preserve">the Administration </w:t>
      </w:r>
      <w:r>
        <w:rPr>
          <w:rFonts w:ascii="Georgia" w:hAnsi="Georgia"/>
          <w:sz w:val="22"/>
          <w:szCs w:val="22"/>
        </w:rPr>
        <w:t>seeks</w:t>
      </w:r>
      <w:r w:rsidRPr="00551B19">
        <w:rPr>
          <w:rFonts w:ascii="Georgia" w:hAnsi="Georgia"/>
          <w:sz w:val="22"/>
          <w:szCs w:val="22"/>
        </w:rPr>
        <w:t xml:space="preserve"> to </w:t>
      </w:r>
      <w:r>
        <w:rPr>
          <w:rFonts w:ascii="Georgia" w:hAnsi="Georgia"/>
          <w:sz w:val="22"/>
          <w:szCs w:val="22"/>
        </w:rPr>
        <w:t xml:space="preserve">expand the scope </w:t>
      </w:r>
      <w:r w:rsidR="00810330">
        <w:rPr>
          <w:rFonts w:ascii="Georgia" w:hAnsi="Georgia"/>
          <w:sz w:val="22"/>
          <w:szCs w:val="22"/>
        </w:rPr>
        <w:t xml:space="preserve">of the NIIT, which </w:t>
      </w:r>
      <w:r>
        <w:rPr>
          <w:rFonts w:ascii="Georgia" w:hAnsi="Georgia"/>
          <w:sz w:val="22"/>
          <w:szCs w:val="22"/>
        </w:rPr>
        <w:t xml:space="preserve">today applies to certain types of passive income </w:t>
      </w:r>
      <w:r w:rsidRPr="00EB1A31">
        <w:rPr>
          <w:rFonts w:ascii="Georgia" w:hAnsi="Georgia"/>
          <w:sz w:val="22"/>
          <w:szCs w:val="22"/>
        </w:rPr>
        <w:t>(</w:t>
      </w:r>
      <w:r w:rsidR="00810330">
        <w:rPr>
          <w:rFonts w:ascii="Georgia" w:hAnsi="Georgia"/>
          <w:sz w:val="22"/>
          <w:szCs w:val="22"/>
        </w:rPr>
        <w:t>e.g.</w:t>
      </w:r>
      <w:r w:rsidRPr="00EB1A31">
        <w:rPr>
          <w:rFonts w:ascii="Georgia" w:hAnsi="Georgia"/>
          <w:sz w:val="22"/>
          <w:szCs w:val="22"/>
        </w:rPr>
        <w:t xml:space="preserve">, interest, </w:t>
      </w:r>
      <w:r w:rsidR="00FB1FD6">
        <w:rPr>
          <w:rFonts w:ascii="Georgia" w:hAnsi="Georgia"/>
          <w:sz w:val="22"/>
          <w:szCs w:val="22"/>
        </w:rPr>
        <w:t xml:space="preserve">capital gains, </w:t>
      </w:r>
      <w:r w:rsidRPr="00EB1A31">
        <w:rPr>
          <w:rFonts w:ascii="Georgia" w:hAnsi="Georgia"/>
          <w:sz w:val="22"/>
          <w:szCs w:val="22"/>
        </w:rPr>
        <w:t xml:space="preserve">dividends, annuities, royalties, and rents) </w:t>
      </w:r>
      <w:r>
        <w:rPr>
          <w:rFonts w:ascii="Georgia" w:hAnsi="Georgia"/>
          <w:sz w:val="22"/>
          <w:szCs w:val="22"/>
        </w:rPr>
        <w:t xml:space="preserve">to encompass </w:t>
      </w:r>
      <w:r w:rsidR="009E396D">
        <w:rPr>
          <w:rFonts w:ascii="Georgia" w:hAnsi="Georgia"/>
          <w:sz w:val="22"/>
          <w:szCs w:val="22"/>
        </w:rPr>
        <w:t xml:space="preserve">such </w:t>
      </w:r>
      <w:r>
        <w:rPr>
          <w:rFonts w:ascii="Georgia" w:hAnsi="Georgia"/>
          <w:sz w:val="22"/>
          <w:szCs w:val="22"/>
        </w:rPr>
        <w:t>income earned in the ordinary course of a trade or business.</w:t>
      </w:r>
      <w:r w:rsidR="00C71EC4">
        <w:rPr>
          <w:rStyle w:val="FootnoteReference"/>
          <w:rFonts w:ascii="Georgia" w:hAnsi="Georgia"/>
          <w:sz w:val="22"/>
          <w:szCs w:val="22"/>
        </w:rPr>
        <w:footnoteReference w:id="18"/>
      </w:r>
      <w:r>
        <w:rPr>
          <w:rFonts w:ascii="Georgia" w:hAnsi="Georgia"/>
          <w:sz w:val="22"/>
          <w:szCs w:val="22"/>
        </w:rPr>
        <w:t xml:space="preserve"> </w:t>
      </w:r>
      <w:r w:rsidR="00810330">
        <w:rPr>
          <w:rFonts w:ascii="Georgia" w:hAnsi="Georgia"/>
          <w:sz w:val="22"/>
          <w:szCs w:val="22"/>
        </w:rPr>
        <w:t xml:space="preserve">Additionally, the Biden Budget proposes to </w:t>
      </w:r>
      <w:r w:rsidR="00810330" w:rsidRPr="00551B19">
        <w:rPr>
          <w:rFonts w:ascii="Georgia" w:hAnsi="Georgia"/>
          <w:sz w:val="22"/>
          <w:szCs w:val="22"/>
        </w:rPr>
        <w:t xml:space="preserve">increase </w:t>
      </w:r>
      <w:r w:rsidR="00810330">
        <w:rPr>
          <w:rFonts w:ascii="Georgia" w:hAnsi="Georgia"/>
          <w:sz w:val="22"/>
          <w:szCs w:val="22"/>
        </w:rPr>
        <w:t>the current 3.8-percent NIIT rate to 5 percent.</w:t>
      </w:r>
      <w:r w:rsidR="00301A78">
        <w:rPr>
          <w:rFonts w:ascii="Georgia" w:hAnsi="Georgia"/>
          <w:sz w:val="22"/>
          <w:szCs w:val="22"/>
        </w:rPr>
        <w:t xml:space="preserve"> </w:t>
      </w:r>
      <w:r w:rsidR="00B81678">
        <w:rPr>
          <w:rFonts w:ascii="Georgia" w:hAnsi="Georgia"/>
          <w:sz w:val="22"/>
          <w:szCs w:val="22"/>
        </w:rPr>
        <w:t xml:space="preserve">This proposal would </w:t>
      </w:r>
      <w:r w:rsidR="00B81678" w:rsidRPr="00B81678">
        <w:rPr>
          <w:rFonts w:ascii="Georgia" w:hAnsi="Georgia"/>
          <w:sz w:val="22"/>
          <w:szCs w:val="22"/>
        </w:rPr>
        <w:t>be phased in for taxpayers earning over $400,000 and fully phased-in for taxpayers earning over $500,000.</w:t>
      </w:r>
    </w:p>
    <w:p w14:paraId="20CFB90F" w14:textId="77777777" w:rsidR="00EB1A31" w:rsidRDefault="00EB1A31" w:rsidP="00552215">
      <w:pPr>
        <w:ind w:left="-475" w:right="-187"/>
        <w:jc w:val="both"/>
        <w:rPr>
          <w:rFonts w:ascii="Georgia" w:hAnsi="Georgia"/>
          <w:sz w:val="22"/>
          <w:szCs w:val="22"/>
        </w:rPr>
      </w:pPr>
    </w:p>
    <w:p w14:paraId="2113C339" w14:textId="7189C0E2" w:rsidR="00EB1A31" w:rsidRDefault="00000000" w:rsidP="00552215">
      <w:pPr>
        <w:ind w:left="-475" w:right="-187"/>
        <w:jc w:val="both"/>
        <w:rPr>
          <w:rFonts w:ascii="Georgia" w:hAnsi="Georgia"/>
          <w:sz w:val="22"/>
          <w:szCs w:val="22"/>
        </w:rPr>
      </w:pPr>
      <w:r>
        <w:rPr>
          <w:rFonts w:ascii="Georgia" w:hAnsi="Georgia"/>
          <w:sz w:val="22"/>
          <w:szCs w:val="22"/>
        </w:rPr>
        <w:t>On a combined basis, t</w:t>
      </w:r>
      <w:r w:rsidR="00C47E52">
        <w:rPr>
          <w:rFonts w:ascii="Georgia" w:hAnsi="Georgia"/>
          <w:sz w:val="22"/>
          <w:szCs w:val="22"/>
        </w:rPr>
        <w:t xml:space="preserve">he result </w:t>
      </w:r>
      <w:r>
        <w:rPr>
          <w:rFonts w:ascii="Georgia" w:hAnsi="Georgia"/>
          <w:sz w:val="22"/>
          <w:szCs w:val="22"/>
        </w:rPr>
        <w:t xml:space="preserve">of these tax increase </w:t>
      </w:r>
      <w:r w:rsidR="00C47E52">
        <w:rPr>
          <w:rFonts w:ascii="Georgia" w:hAnsi="Georgia"/>
          <w:sz w:val="22"/>
          <w:szCs w:val="22"/>
        </w:rPr>
        <w:t xml:space="preserve">would </w:t>
      </w:r>
      <w:r w:rsidR="00301A78">
        <w:rPr>
          <w:rFonts w:ascii="Georgia" w:hAnsi="Georgia"/>
          <w:sz w:val="22"/>
          <w:szCs w:val="22"/>
        </w:rPr>
        <w:t xml:space="preserve">subject </w:t>
      </w:r>
      <w:r w:rsidR="00C47E52">
        <w:rPr>
          <w:rFonts w:ascii="Georgia" w:hAnsi="Georgia"/>
          <w:sz w:val="22"/>
          <w:szCs w:val="22"/>
        </w:rPr>
        <w:t>self-employed individuals</w:t>
      </w:r>
      <w:r w:rsidR="00AB5D5F">
        <w:rPr>
          <w:rFonts w:ascii="Georgia" w:hAnsi="Georgia"/>
          <w:sz w:val="22"/>
          <w:szCs w:val="22"/>
        </w:rPr>
        <w:t>, including owners and developers of multifamily real estate,</w:t>
      </w:r>
      <w:r w:rsidR="00C47E52">
        <w:rPr>
          <w:rFonts w:ascii="Georgia" w:hAnsi="Georgia"/>
          <w:sz w:val="22"/>
          <w:szCs w:val="22"/>
        </w:rPr>
        <w:t xml:space="preserve"> </w:t>
      </w:r>
      <w:r w:rsidR="00301A78">
        <w:rPr>
          <w:rFonts w:ascii="Georgia" w:hAnsi="Georgia"/>
          <w:sz w:val="22"/>
          <w:szCs w:val="22"/>
        </w:rPr>
        <w:t xml:space="preserve">to </w:t>
      </w:r>
      <w:r w:rsidR="00C47E52">
        <w:rPr>
          <w:rFonts w:ascii="Georgia" w:hAnsi="Georgia"/>
          <w:sz w:val="22"/>
          <w:szCs w:val="22"/>
        </w:rPr>
        <w:t>a top marginal tax rate of 44.6 percent on ordinary income</w:t>
      </w:r>
      <w:r w:rsidR="002C7090">
        <w:rPr>
          <w:rFonts w:ascii="Georgia" w:hAnsi="Georgia"/>
          <w:sz w:val="22"/>
          <w:szCs w:val="22"/>
        </w:rPr>
        <w:t xml:space="preserve"> rather than today’s 33.4 percent top effective marginal rate when self-employment taxes are included</w:t>
      </w:r>
      <w:r w:rsidR="00C47E52">
        <w:rPr>
          <w:rFonts w:ascii="Georgia" w:hAnsi="Georgia"/>
          <w:sz w:val="22"/>
          <w:szCs w:val="22"/>
        </w:rPr>
        <w:t xml:space="preserve">. </w:t>
      </w:r>
    </w:p>
    <w:p w14:paraId="3D377E20" w14:textId="77777777" w:rsidR="00301A78" w:rsidRDefault="00301A78" w:rsidP="00552215">
      <w:pPr>
        <w:ind w:left="-475" w:right="-187"/>
        <w:jc w:val="both"/>
        <w:rPr>
          <w:rFonts w:ascii="Georgia" w:hAnsi="Georgia"/>
          <w:sz w:val="22"/>
          <w:szCs w:val="22"/>
        </w:rPr>
      </w:pPr>
    </w:p>
    <w:p w14:paraId="4D01FDAE" w14:textId="77777777" w:rsidR="00301A78" w:rsidRDefault="00000000" w:rsidP="00301A78">
      <w:pPr>
        <w:ind w:left="-475" w:right="-187"/>
        <w:jc w:val="both"/>
        <w:rPr>
          <w:rFonts w:ascii="Georgia" w:hAnsi="Georgia"/>
          <w:sz w:val="22"/>
          <w:szCs w:val="22"/>
        </w:rPr>
      </w:pPr>
      <w:r>
        <w:rPr>
          <w:rFonts w:ascii="Georgia" w:hAnsi="Georgia"/>
          <w:sz w:val="22"/>
          <w:szCs w:val="22"/>
        </w:rPr>
        <w:t xml:space="preserve">In addition, the Biden Budget would expand current law’s additional 0.9-percent Medicare tax, which today is </w:t>
      </w:r>
      <w:r w:rsidRPr="00384D23">
        <w:rPr>
          <w:rFonts w:ascii="Georgia" w:hAnsi="Georgia"/>
          <w:sz w:val="22"/>
          <w:szCs w:val="22"/>
        </w:rPr>
        <w:t>applicable to employment earnings over $200,000 for single filers and $250,000 for married filers</w:t>
      </w:r>
      <w:r>
        <w:rPr>
          <w:rFonts w:ascii="Georgia" w:hAnsi="Georgia"/>
          <w:sz w:val="22"/>
          <w:szCs w:val="22"/>
        </w:rPr>
        <w:t>.</w:t>
      </w:r>
      <w:r w:rsidRPr="00384D23">
        <w:rPr>
          <w:rFonts w:ascii="Georgia" w:hAnsi="Georgia"/>
          <w:sz w:val="22"/>
          <w:szCs w:val="22"/>
        </w:rPr>
        <w:t xml:space="preserve"> </w:t>
      </w:r>
      <w:r>
        <w:rPr>
          <w:rFonts w:ascii="Georgia" w:hAnsi="Georgia"/>
          <w:sz w:val="22"/>
          <w:szCs w:val="22"/>
        </w:rPr>
        <w:t>T</w:t>
      </w:r>
      <w:r w:rsidRPr="00384D23">
        <w:rPr>
          <w:rFonts w:ascii="Georgia" w:hAnsi="Georgia"/>
          <w:sz w:val="22"/>
          <w:szCs w:val="22"/>
        </w:rPr>
        <w:t xml:space="preserve">he Budget proposes to impose an additional 1.2 percent tax on employment earnings over $400,000. </w:t>
      </w:r>
      <w:r>
        <w:rPr>
          <w:rFonts w:ascii="Georgia" w:hAnsi="Georgia"/>
          <w:sz w:val="22"/>
          <w:szCs w:val="22"/>
        </w:rPr>
        <w:t xml:space="preserve"> </w:t>
      </w:r>
    </w:p>
    <w:p w14:paraId="6FE5A475" w14:textId="57B78627" w:rsidR="00551B19" w:rsidRDefault="00000000" w:rsidP="00C47E52">
      <w:pPr>
        <w:spacing w:before="100" w:beforeAutospacing="1" w:after="100" w:afterAutospacing="1" w:line="240" w:lineRule="exact"/>
        <w:ind w:left="-475" w:right="-187"/>
        <w:jc w:val="both"/>
        <w:rPr>
          <w:rFonts w:ascii="Georgia" w:hAnsi="Georgia"/>
          <w:sz w:val="22"/>
          <w:szCs w:val="22"/>
        </w:rPr>
      </w:pPr>
      <w:r>
        <w:rPr>
          <w:rFonts w:ascii="Georgia" w:hAnsi="Georgia"/>
          <w:sz w:val="22"/>
          <w:szCs w:val="22"/>
        </w:rPr>
        <w:t>Rather than increasing ordinary income tax rates, Congress should extend current-law rates and the 20</w:t>
      </w:r>
      <w:r w:rsidR="00301A78">
        <w:rPr>
          <w:rFonts w:ascii="Georgia" w:hAnsi="Georgia"/>
          <w:sz w:val="22"/>
          <w:szCs w:val="22"/>
        </w:rPr>
        <w:t>-</w:t>
      </w:r>
      <w:r>
        <w:rPr>
          <w:rFonts w:ascii="Georgia" w:hAnsi="Georgia"/>
          <w:sz w:val="22"/>
          <w:szCs w:val="22"/>
        </w:rPr>
        <w:t xml:space="preserve">percent </w:t>
      </w:r>
      <w:r w:rsidR="00C71EC4">
        <w:rPr>
          <w:rFonts w:ascii="Georgia" w:hAnsi="Georgia"/>
          <w:sz w:val="22"/>
          <w:szCs w:val="22"/>
        </w:rPr>
        <w:t xml:space="preserve">Section </w:t>
      </w:r>
      <w:r w:rsidR="00301A78">
        <w:rPr>
          <w:rFonts w:ascii="Georgia" w:hAnsi="Georgia"/>
          <w:sz w:val="22"/>
          <w:szCs w:val="22"/>
        </w:rPr>
        <w:t xml:space="preserve">199A </w:t>
      </w:r>
      <w:r>
        <w:rPr>
          <w:rFonts w:ascii="Georgia" w:hAnsi="Georgia"/>
          <w:sz w:val="22"/>
          <w:szCs w:val="22"/>
        </w:rPr>
        <w:t>deduction as discussed above.</w:t>
      </w:r>
      <w:r w:rsidR="00291EEA">
        <w:rPr>
          <w:rFonts w:ascii="Georgia" w:hAnsi="Georgia"/>
          <w:sz w:val="22"/>
          <w:szCs w:val="22"/>
        </w:rPr>
        <w:t xml:space="preserve"> Again, </w:t>
      </w:r>
      <w:r w:rsidR="00291EEA">
        <w:rPr>
          <w:rFonts w:ascii="Georgia" w:eastAsia="Times New Roman" w:hAnsi="Georgia"/>
          <w:sz w:val="22"/>
          <w:szCs w:val="22"/>
        </w:rPr>
        <w:t>f</w:t>
      </w:r>
      <w:r w:rsidR="00291EEA" w:rsidRPr="00253D91">
        <w:rPr>
          <w:rFonts w:ascii="Georgia" w:eastAsia="Times New Roman" w:hAnsi="Georgia"/>
          <w:sz w:val="22"/>
          <w:szCs w:val="22"/>
        </w:rPr>
        <w:t>ailure to extend today</w:t>
      </w:r>
      <w:r w:rsidR="00291EEA" w:rsidRPr="00EB57C1">
        <w:rPr>
          <w:rFonts w:ascii="Georgia" w:eastAsia="Times New Roman" w:hAnsi="Georgia"/>
          <w:sz w:val="22"/>
          <w:szCs w:val="22"/>
        </w:rPr>
        <w:t>’</w:t>
      </w:r>
      <w:r w:rsidR="00291EEA" w:rsidRPr="00253D91">
        <w:rPr>
          <w:rFonts w:ascii="Georgia" w:eastAsia="Times New Roman" w:hAnsi="Georgia"/>
          <w:sz w:val="22"/>
          <w:szCs w:val="22"/>
        </w:rPr>
        <w:t>s tax laws would result in a substantial tax increase and further exacerbate the nation</w:t>
      </w:r>
      <w:r w:rsidR="00291EEA" w:rsidRPr="00EB57C1">
        <w:rPr>
          <w:rFonts w:ascii="Georgia" w:eastAsia="Times New Roman" w:hAnsi="Georgia"/>
          <w:sz w:val="22"/>
          <w:szCs w:val="22"/>
        </w:rPr>
        <w:t>’</w:t>
      </w:r>
      <w:r w:rsidR="00291EEA" w:rsidRPr="00253D91">
        <w:rPr>
          <w:rFonts w:ascii="Georgia" w:eastAsia="Times New Roman" w:hAnsi="Georgia"/>
          <w:sz w:val="22"/>
          <w:szCs w:val="22"/>
        </w:rPr>
        <w:t>s housing challenges.</w:t>
      </w:r>
      <w:r w:rsidR="00291EEA" w:rsidRPr="00EB57C1">
        <w:rPr>
          <w:rFonts w:ascii="Georgia" w:eastAsia="Times New Roman" w:hAnsi="Georgia"/>
          <w:sz w:val="22"/>
          <w:szCs w:val="22"/>
        </w:rPr>
        <w:t xml:space="preserve"> Put simply, higher taxes mean fewer dollars to build new units and preserve our existing housing stock</w:t>
      </w:r>
      <w:r w:rsidR="00301A78">
        <w:rPr>
          <w:rFonts w:ascii="Georgia" w:eastAsia="Times New Roman" w:hAnsi="Georgia"/>
          <w:sz w:val="22"/>
          <w:szCs w:val="22"/>
        </w:rPr>
        <w:t>, let alone capital to begin addressing the serious shortage of affordable housing</w:t>
      </w:r>
      <w:r w:rsidR="00301A78" w:rsidRPr="00EB57C1">
        <w:rPr>
          <w:rFonts w:ascii="Georgia" w:eastAsia="Times New Roman" w:hAnsi="Georgia"/>
          <w:sz w:val="22"/>
          <w:szCs w:val="22"/>
        </w:rPr>
        <w:t>.</w:t>
      </w:r>
    </w:p>
    <w:p w14:paraId="458AD21B" w14:textId="091312A9" w:rsidR="00551B19" w:rsidRPr="00551B19" w:rsidRDefault="00000000" w:rsidP="00551B19">
      <w:pPr>
        <w:ind w:left="-475" w:right="-187"/>
        <w:jc w:val="both"/>
        <w:rPr>
          <w:rFonts w:ascii="Georgia" w:hAnsi="Georgia"/>
          <w:sz w:val="22"/>
          <w:szCs w:val="22"/>
        </w:rPr>
      </w:pPr>
      <w:r w:rsidRPr="00291EEA">
        <w:rPr>
          <w:rFonts w:ascii="Georgia" w:hAnsi="Georgia"/>
          <w:i/>
          <w:iCs/>
          <w:sz w:val="22"/>
          <w:szCs w:val="22"/>
        </w:rPr>
        <w:t>Capital Gains</w:t>
      </w:r>
      <w:r w:rsidR="007C0ADD">
        <w:rPr>
          <w:rFonts w:ascii="Georgia" w:hAnsi="Georgia"/>
          <w:i/>
          <w:iCs/>
          <w:sz w:val="22"/>
          <w:szCs w:val="22"/>
        </w:rPr>
        <w:t xml:space="preserve">, Qualified Dividends, and </w:t>
      </w:r>
      <w:r w:rsidR="0082738F">
        <w:rPr>
          <w:rFonts w:ascii="Georgia" w:hAnsi="Georgia"/>
          <w:i/>
          <w:iCs/>
          <w:sz w:val="22"/>
          <w:szCs w:val="22"/>
        </w:rPr>
        <w:t xml:space="preserve">Expanding the Net Investment Income Tax </w:t>
      </w:r>
      <w:r w:rsidR="00301A78">
        <w:rPr>
          <w:rFonts w:ascii="Georgia" w:hAnsi="Georgia"/>
          <w:i/>
          <w:iCs/>
          <w:sz w:val="22"/>
          <w:szCs w:val="22"/>
        </w:rPr>
        <w:t>w</w:t>
      </w:r>
      <w:r w:rsidR="0082738F">
        <w:rPr>
          <w:rFonts w:ascii="Georgia" w:hAnsi="Georgia"/>
          <w:i/>
          <w:iCs/>
          <w:sz w:val="22"/>
          <w:szCs w:val="22"/>
        </w:rPr>
        <w:t>hile Increasing the Tax Rate</w:t>
      </w:r>
      <w:r w:rsidRPr="00291EEA">
        <w:rPr>
          <w:rFonts w:ascii="Georgia" w:hAnsi="Georgia"/>
          <w:i/>
          <w:iCs/>
          <w:sz w:val="22"/>
          <w:szCs w:val="22"/>
        </w:rPr>
        <w:t xml:space="preserve">: </w:t>
      </w:r>
      <w:r w:rsidR="00551B19" w:rsidRPr="00291EEA">
        <w:rPr>
          <w:rFonts w:ascii="Georgia" w:hAnsi="Georgia"/>
          <w:sz w:val="22"/>
          <w:szCs w:val="22"/>
        </w:rPr>
        <w:t>The</w:t>
      </w:r>
      <w:r w:rsidR="00551B19">
        <w:rPr>
          <w:rFonts w:ascii="Georgia" w:hAnsi="Georgia"/>
          <w:sz w:val="22"/>
          <w:szCs w:val="22"/>
        </w:rPr>
        <w:t xml:space="preserve"> Biden</w:t>
      </w:r>
      <w:r w:rsidR="00551B19" w:rsidRPr="00551B19">
        <w:rPr>
          <w:rFonts w:ascii="Georgia" w:hAnsi="Georgia"/>
          <w:sz w:val="22"/>
          <w:szCs w:val="22"/>
        </w:rPr>
        <w:t xml:space="preserve"> Budget proposes to tax capital gains </w:t>
      </w:r>
      <w:r w:rsidR="00371FB8">
        <w:rPr>
          <w:rFonts w:ascii="Georgia" w:hAnsi="Georgia"/>
          <w:sz w:val="22"/>
          <w:szCs w:val="22"/>
        </w:rPr>
        <w:t xml:space="preserve">and qualified dividends </w:t>
      </w:r>
      <w:r w:rsidR="00551B19" w:rsidRPr="00551B19">
        <w:rPr>
          <w:rFonts w:ascii="Georgia" w:hAnsi="Georgia"/>
          <w:sz w:val="22"/>
          <w:szCs w:val="22"/>
        </w:rPr>
        <w:t xml:space="preserve">at ordinary income tax rates for taxpayers earning over $1 million. </w:t>
      </w:r>
      <w:r>
        <w:rPr>
          <w:rFonts w:ascii="Georgia" w:hAnsi="Georgia"/>
          <w:sz w:val="22"/>
          <w:szCs w:val="22"/>
        </w:rPr>
        <w:t>Additionally,</w:t>
      </w:r>
      <w:r w:rsidR="00551B19" w:rsidRPr="00551B19">
        <w:rPr>
          <w:rFonts w:ascii="Georgia" w:hAnsi="Georgia"/>
          <w:sz w:val="22"/>
          <w:szCs w:val="22"/>
        </w:rPr>
        <w:t xml:space="preserve"> </w:t>
      </w:r>
      <w:r w:rsidR="00301A78">
        <w:rPr>
          <w:rFonts w:ascii="Georgia" w:hAnsi="Georgia"/>
          <w:sz w:val="22"/>
          <w:szCs w:val="22"/>
        </w:rPr>
        <w:t xml:space="preserve">as discussed above, </w:t>
      </w:r>
      <w:r w:rsidR="00551B19" w:rsidRPr="00551B19">
        <w:rPr>
          <w:rFonts w:ascii="Georgia" w:hAnsi="Georgia"/>
          <w:sz w:val="22"/>
          <w:szCs w:val="22"/>
        </w:rPr>
        <w:t xml:space="preserve">the Administration </w:t>
      </w:r>
      <w:r>
        <w:rPr>
          <w:rFonts w:ascii="Georgia" w:hAnsi="Georgia"/>
          <w:sz w:val="22"/>
          <w:szCs w:val="22"/>
        </w:rPr>
        <w:t>seeks</w:t>
      </w:r>
      <w:r w:rsidR="00551B19" w:rsidRPr="00551B19">
        <w:rPr>
          <w:rFonts w:ascii="Georgia" w:hAnsi="Georgia"/>
          <w:sz w:val="22"/>
          <w:szCs w:val="22"/>
        </w:rPr>
        <w:t xml:space="preserve"> to </w:t>
      </w:r>
      <w:r w:rsidR="0082738F">
        <w:rPr>
          <w:rFonts w:ascii="Georgia" w:hAnsi="Georgia"/>
          <w:sz w:val="22"/>
          <w:szCs w:val="22"/>
        </w:rPr>
        <w:t xml:space="preserve">expand the scope </w:t>
      </w:r>
      <w:r w:rsidR="00C71EC4">
        <w:rPr>
          <w:rFonts w:ascii="Georgia" w:hAnsi="Georgia"/>
          <w:sz w:val="22"/>
          <w:szCs w:val="22"/>
        </w:rPr>
        <w:t xml:space="preserve">of </w:t>
      </w:r>
      <w:r w:rsidR="006418C1">
        <w:rPr>
          <w:rFonts w:ascii="Georgia" w:hAnsi="Georgia"/>
          <w:sz w:val="22"/>
          <w:szCs w:val="22"/>
        </w:rPr>
        <w:t xml:space="preserve">the NIIT (subject to the increased </w:t>
      </w:r>
      <w:r w:rsidR="0082738F">
        <w:rPr>
          <w:rFonts w:ascii="Georgia" w:hAnsi="Georgia"/>
          <w:sz w:val="22"/>
          <w:szCs w:val="22"/>
        </w:rPr>
        <w:t>5</w:t>
      </w:r>
      <w:r w:rsidR="006418C1">
        <w:rPr>
          <w:rFonts w:ascii="Georgia" w:hAnsi="Georgia"/>
          <w:sz w:val="22"/>
          <w:szCs w:val="22"/>
        </w:rPr>
        <w:t>-</w:t>
      </w:r>
      <w:r w:rsidR="0082738F">
        <w:rPr>
          <w:rFonts w:ascii="Georgia" w:hAnsi="Georgia"/>
          <w:sz w:val="22"/>
          <w:szCs w:val="22"/>
        </w:rPr>
        <w:t>percent</w:t>
      </w:r>
      <w:r w:rsidR="006418C1">
        <w:rPr>
          <w:rFonts w:ascii="Georgia" w:hAnsi="Georgia"/>
          <w:sz w:val="22"/>
          <w:szCs w:val="22"/>
        </w:rPr>
        <w:t xml:space="preserve"> rate) to include </w:t>
      </w:r>
      <w:r w:rsidR="00C71EC4">
        <w:rPr>
          <w:rFonts w:ascii="Georgia" w:hAnsi="Georgia"/>
          <w:sz w:val="22"/>
          <w:szCs w:val="22"/>
        </w:rPr>
        <w:t xml:space="preserve">certain types of </w:t>
      </w:r>
      <w:r w:rsidR="00056661">
        <w:rPr>
          <w:rFonts w:ascii="Georgia" w:hAnsi="Georgia"/>
          <w:sz w:val="22"/>
          <w:szCs w:val="22"/>
        </w:rPr>
        <w:t>income</w:t>
      </w:r>
      <w:r w:rsidR="00C71EC4">
        <w:rPr>
          <w:rFonts w:ascii="Georgia" w:hAnsi="Georgia"/>
          <w:sz w:val="22"/>
          <w:szCs w:val="22"/>
        </w:rPr>
        <w:t>,</w:t>
      </w:r>
      <w:r w:rsidR="00056661">
        <w:rPr>
          <w:rFonts w:ascii="Georgia" w:hAnsi="Georgia"/>
          <w:sz w:val="22"/>
          <w:szCs w:val="22"/>
        </w:rPr>
        <w:t xml:space="preserve"> </w:t>
      </w:r>
      <w:r w:rsidR="006418C1">
        <w:rPr>
          <w:rFonts w:ascii="Georgia" w:hAnsi="Georgia"/>
          <w:sz w:val="22"/>
          <w:szCs w:val="22"/>
        </w:rPr>
        <w:t xml:space="preserve">such as </w:t>
      </w:r>
      <w:r w:rsidR="00EB1A31" w:rsidRPr="00EB1A31">
        <w:rPr>
          <w:rFonts w:ascii="Georgia" w:hAnsi="Georgia"/>
          <w:sz w:val="22"/>
          <w:szCs w:val="22"/>
        </w:rPr>
        <w:t>capital gains</w:t>
      </w:r>
      <w:r w:rsidR="007C0ADD">
        <w:rPr>
          <w:rFonts w:ascii="Georgia" w:hAnsi="Georgia"/>
          <w:sz w:val="22"/>
          <w:szCs w:val="22"/>
        </w:rPr>
        <w:t xml:space="preserve"> and qualified dividends</w:t>
      </w:r>
      <w:r w:rsidR="00C71EC4">
        <w:rPr>
          <w:rFonts w:ascii="Georgia" w:hAnsi="Georgia"/>
          <w:sz w:val="22"/>
          <w:szCs w:val="22"/>
        </w:rPr>
        <w:t>,</w:t>
      </w:r>
      <w:r w:rsidR="007C0ADD">
        <w:rPr>
          <w:rFonts w:ascii="Georgia" w:hAnsi="Georgia"/>
          <w:sz w:val="22"/>
          <w:szCs w:val="22"/>
        </w:rPr>
        <w:t xml:space="preserve"> </w:t>
      </w:r>
      <w:r w:rsidR="00EB1A31">
        <w:rPr>
          <w:rFonts w:ascii="Georgia" w:hAnsi="Georgia"/>
          <w:sz w:val="22"/>
          <w:szCs w:val="22"/>
        </w:rPr>
        <w:t xml:space="preserve">earned in the ordinary course of a trade or business. </w:t>
      </w:r>
      <w:r>
        <w:rPr>
          <w:rFonts w:ascii="Georgia" w:hAnsi="Georgia"/>
          <w:sz w:val="22"/>
          <w:szCs w:val="22"/>
        </w:rPr>
        <w:t>On a combined basis,</w:t>
      </w:r>
      <w:r w:rsidRPr="00551B19">
        <w:rPr>
          <w:rFonts w:ascii="Georgia" w:hAnsi="Georgia"/>
          <w:sz w:val="22"/>
          <w:szCs w:val="22"/>
        </w:rPr>
        <w:t xml:space="preserve"> the proposal</w:t>
      </w:r>
      <w:r>
        <w:rPr>
          <w:rFonts w:ascii="Georgia" w:hAnsi="Georgia"/>
          <w:sz w:val="22"/>
          <w:szCs w:val="22"/>
        </w:rPr>
        <w:t>s</w:t>
      </w:r>
      <w:r w:rsidRPr="00551B19">
        <w:rPr>
          <w:rFonts w:ascii="Georgia" w:hAnsi="Georgia"/>
          <w:sz w:val="22"/>
          <w:szCs w:val="22"/>
        </w:rPr>
        <w:t xml:space="preserve"> would raise the top tax rate on long-term capital gains to 44.6 percent from today’s rate of 23.8 percent (20 percent statutory rate plus </w:t>
      </w:r>
      <w:r w:rsidR="006418C1">
        <w:rPr>
          <w:rFonts w:ascii="Georgia" w:hAnsi="Georgia"/>
          <w:sz w:val="22"/>
          <w:szCs w:val="22"/>
        </w:rPr>
        <w:t xml:space="preserve">the current </w:t>
      </w:r>
      <w:r w:rsidRPr="00551B19">
        <w:rPr>
          <w:rFonts w:ascii="Georgia" w:hAnsi="Georgia"/>
          <w:sz w:val="22"/>
          <w:szCs w:val="22"/>
        </w:rPr>
        <w:t xml:space="preserve">3.8 percent </w:t>
      </w:r>
      <w:r w:rsidR="006418C1">
        <w:rPr>
          <w:rFonts w:ascii="Georgia" w:hAnsi="Georgia"/>
          <w:sz w:val="22"/>
          <w:szCs w:val="22"/>
        </w:rPr>
        <w:t>NIIT</w:t>
      </w:r>
      <w:r w:rsidRPr="00551B19">
        <w:rPr>
          <w:rFonts w:ascii="Georgia" w:hAnsi="Georgia"/>
          <w:sz w:val="22"/>
          <w:szCs w:val="22"/>
        </w:rPr>
        <w:t>).</w:t>
      </w:r>
    </w:p>
    <w:p w14:paraId="3EF39BF3" w14:textId="77777777" w:rsidR="00551B19" w:rsidRPr="00551B19" w:rsidRDefault="00551B19" w:rsidP="00552215">
      <w:pPr>
        <w:ind w:left="-475" w:right="-187"/>
        <w:jc w:val="both"/>
        <w:rPr>
          <w:rFonts w:ascii="Georgia" w:hAnsi="Georgia"/>
          <w:sz w:val="22"/>
          <w:szCs w:val="22"/>
        </w:rPr>
      </w:pPr>
    </w:p>
    <w:p w14:paraId="3F79740C" w14:textId="3F8A8713" w:rsidR="004E6B00" w:rsidRDefault="00000000" w:rsidP="00552215">
      <w:pPr>
        <w:ind w:left="-475" w:right="-187"/>
        <w:jc w:val="both"/>
        <w:rPr>
          <w:rFonts w:ascii="Georgia" w:hAnsi="Georgia"/>
          <w:sz w:val="22"/>
          <w:szCs w:val="22"/>
        </w:rPr>
      </w:pPr>
      <w:r>
        <w:rPr>
          <w:rFonts w:ascii="Georgia" w:hAnsi="Georgia"/>
          <w:sz w:val="22"/>
          <w:szCs w:val="22"/>
        </w:rPr>
        <w:t xml:space="preserve">A 44.6 percent tax rate on capital gains </w:t>
      </w:r>
      <w:r w:rsidR="007C0ADD">
        <w:rPr>
          <w:rFonts w:ascii="Georgia" w:hAnsi="Georgia"/>
          <w:sz w:val="22"/>
          <w:szCs w:val="22"/>
        </w:rPr>
        <w:t xml:space="preserve">and qualified dividends </w:t>
      </w:r>
      <w:r>
        <w:rPr>
          <w:rFonts w:ascii="Georgia" w:hAnsi="Georgia"/>
          <w:sz w:val="22"/>
          <w:szCs w:val="22"/>
        </w:rPr>
        <w:t xml:space="preserve">would reduce investment in two respects. First, nearly doubling the tax rate on such income would reduce proceeds from realized </w:t>
      </w:r>
      <w:r>
        <w:rPr>
          <w:rFonts w:ascii="Georgia" w:hAnsi="Georgia"/>
          <w:sz w:val="22"/>
          <w:szCs w:val="22"/>
        </w:rPr>
        <w:lastRenderedPageBreak/>
        <w:t xml:space="preserve">investment gains. This would translate into a reduced amount of capital available for new investment that could help address the nation’s housing supply shortage. Second, parity between </w:t>
      </w:r>
      <w:r w:rsidR="006418C1">
        <w:rPr>
          <w:rFonts w:ascii="Georgia" w:hAnsi="Georgia"/>
          <w:sz w:val="22"/>
          <w:szCs w:val="22"/>
        </w:rPr>
        <w:t xml:space="preserve">the tax rates applicable to </w:t>
      </w:r>
      <w:r w:rsidR="007C0ADD">
        <w:rPr>
          <w:rFonts w:ascii="Georgia" w:hAnsi="Georgia"/>
          <w:sz w:val="22"/>
          <w:szCs w:val="22"/>
        </w:rPr>
        <w:t xml:space="preserve">long-term </w:t>
      </w:r>
      <w:r>
        <w:rPr>
          <w:rFonts w:ascii="Georgia" w:hAnsi="Georgia"/>
          <w:sz w:val="22"/>
          <w:szCs w:val="22"/>
        </w:rPr>
        <w:t xml:space="preserve">capital gains and ordinary income would reduce the incentive to engage in risk-taking and entrepreneurial activity. Investors, including those financing and developing real estate, are incentivized to take risk because of a meaningful differential between ordinary income </w:t>
      </w:r>
      <w:r w:rsidR="007C0ADD">
        <w:rPr>
          <w:rFonts w:ascii="Georgia" w:hAnsi="Georgia"/>
          <w:sz w:val="22"/>
          <w:szCs w:val="22"/>
        </w:rPr>
        <w:t xml:space="preserve">tax rates </w:t>
      </w:r>
      <w:r>
        <w:rPr>
          <w:rFonts w:ascii="Georgia" w:hAnsi="Georgia"/>
          <w:sz w:val="22"/>
          <w:szCs w:val="22"/>
        </w:rPr>
        <w:t xml:space="preserve">and capital gains tax rates. </w:t>
      </w:r>
    </w:p>
    <w:p w14:paraId="11C7F270" w14:textId="77777777" w:rsidR="00CE1B5A" w:rsidRPr="00093D4C" w:rsidRDefault="00CE1B5A" w:rsidP="00552215">
      <w:pPr>
        <w:ind w:left="-475" w:right="-187"/>
        <w:jc w:val="both"/>
        <w:rPr>
          <w:rFonts w:ascii="Georgia" w:hAnsi="Georgia"/>
          <w:b/>
          <w:bCs/>
          <w:sz w:val="22"/>
          <w:szCs w:val="22"/>
        </w:rPr>
      </w:pPr>
    </w:p>
    <w:p w14:paraId="0F1718F9" w14:textId="74C0F787" w:rsidR="00C517C6" w:rsidRPr="00093D4C" w:rsidRDefault="00000000" w:rsidP="00C014CD">
      <w:pPr>
        <w:keepNext/>
        <w:ind w:left="-475" w:right="-187"/>
        <w:jc w:val="both"/>
        <w:rPr>
          <w:rFonts w:ascii="Georgia" w:hAnsi="Georgia"/>
          <w:b/>
          <w:bCs/>
          <w:i/>
          <w:iCs/>
          <w:sz w:val="22"/>
          <w:szCs w:val="22"/>
        </w:rPr>
      </w:pPr>
      <w:r w:rsidRPr="00093D4C">
        <w:rPr>
          <w:rFonts w:ascii="Georgia" w:hAnsi="Georgia"/>
          <w:b/>
          <w:bCs/>
          <w:i/>
          <w:iCs/>
          <w:sz w:val="22"/>
          <w:szCs w:val="22"/>
        </w:rPr>
        <w:t>Limit Deferral of Taxable Gain from Like-Kind Exchange</w:t>
      </w:r>
      <w:r w:rsidR="006418C1">
        <w:rPr>
          <w:rFonts w:ascii="Georgia" w:hAnsi="Georgia"/>
          <w:b/>
          <w:bCs/>
          <w:i/>
          <w:iCs/>
          <w:sz w:val="22"/>
          <w:szCs w:val="22"/>
        </w:rPr>
        <w:t>s</w:t>
      </w:r>
    </w:p>
    <w:p w14:paraId="33E5D9A5" w14:textId="77777777" w:rsidR="00C517C6" w:rsidRDefault="00C517C6" w:rsidP="00C014CD">
      <w:pPr>
        <w:keepNext/>
        <w:ind w:left="-475" w:right="-187"/>
        <w:jc w:val="both"/>
        <w:rPr>
          <w:rFonts w:ascii="Georgia" w:hAnsi="Georgia"/>
          <w:i/>
          <w:iCs/>
          <w:sz w:val="22"/>
          <w:szCs w:val="22"/>
        </w:rPr>
      </w:pPr>
    </w:p>
    <w:p w14:paraId="1CC325A6" w14:textId="01F56A1E" w:rsidR="00C517C6" w:rsidRPr="00C517C6" w:rsidRDefault="00000000" w:rsidP="00C014CD">
      <w:pPr>
        <w:keepNext/>
        <w:ind w:left="-475" w:right="-187"/>
        <w:jc w:val="both"/>
        <w:rPr>
          <w:rFonts w:ascii="Georgia" w:hAnsi="Georgia"/>
          <w:sz w:val="22"/>
          <w:szCs w:val="22"/>
        </w:rPr>
      </w:pPr>
      <w:r w:rsidRPr="00C517C6">
        <w:rPr>
          <w:rFonts w:ascii="Georgia" w:hAnsi="Georgia"/>
          <w:sz w:val="22"/>
          <w:szCs w:val="22"/>
        </w:rPr>
        <w:t xml:space="preserve">Ensuring the nation has sufficient housing is an important public policy goal, and one that </w:t>
      </w:r>
      <w:r w:rsidR="006418C1">
        <w:rPr>
          <w:rFonts w:ascii="Georgia" w:hAnsi="Georgia"/>
          <w:sz w:val="22"/>
          <w:szCs w:val="22"/>
        </w:rPr>
        <w:t xml:space="preserve">can be </w:t>
      </w:r>
      <w:r w:rsidRPr="00C517C6">
        <w:rPr>
          <w:rFonts w:ascii="Georgia" w:hAnsi="Georgia"/>
          <w:sz w:val="22"/>
          <w:szCs w:val="22"/>
        </w:rPr>
        <w:t xml:space="preserve">pursued through housing and tax policy. </w:t>
      </w:r>
      <w:r w:rsidR="006418C1">
        <w:rPr>
          <w:rFonts w:ascii="Georgia" w:hAnsi="Georgia"/>
          <w:sz w:val="22"/>
          <w:szCs w:val="22"/>
        </w:rPr>
        <w:t xml:space="preserve">A </w:t>
      </w:r>
      <w:r w:rsidR="00C014CD">
        <w:rPr>
          <w:rFonts w:ascii="Georgia" w:hAnsi="Georgia"/>
          <w:sz w:val="22"/>
          <w:szCs w:val="22"/>
        </w:rPr>
        <w:t>critical</w:t>
      </w:r>
      <w:r w:rsidR="006418C1">
        <w:rPr>
          <w:rFonts w:ascii="Georgia" w:hAnsi="Georgia"/>
          <w:sz w:val="22"/>
          <w:szCs w:val="22"/>
        </w:rPr>
        <w:t xml:space="preserve"> </w:t>
      </w:r>
      <w:r w:rsidRPr="00C517C6">
        <w:rPr>
          <w:rFonts w:ascii="Georgia" w:hAnsi="Georgia"/>
          <w:sz w:val="22"/>
          <w:szCs w:val="22"/>
        </w:rPr>
        <w:t xml:space="preserve">way </w:t>
      </w:r>
      <w:r w:rsidR="006418C1">
        <w:rPr>
          <w:rFonts w:ascii="Georgia" w:hAnsi="Georgia"/>
          <w:sz w:val="22"/>
          <w:szCs w:val="22"/>
        </w:rPr>
        <w:t xml:space="preserve">that the nation’s </w:t>
      </w:r>
      <w:r w:rsidRPr="00C517C6">
        <w:rPr>
          <w:rFonts w:ascii="Georgia" w:hAnsi="Georgia"/>
          <w:sz w:val="22"/>
          <w:szCs w:val="22"/>
        </w:rPr>
        <w:t>tax laws support investment in real estate is through Section 1031 like-kind exchanges.</w:t>
      </w:r>
      <w:r>
        <w:rPr>
          <w:rFonts w:ascii="Georgia" w:hAnsi="Georgia"/>
          <w:sz w:val="22"/>
          <w:szCs w:val="22"/>
        </w:rPr>
        <w:t xml:space="preserve"> NMHC and NAA strongly believe that Congress should retain current-law like-kind exchange rules</w:t>
      </w:r>
      <w:r w:rsidR="00C47E52">
        <w:rPr>
          <w:rFonts w:ascii="Georgia" w:hAnsi="Georgia"/>
          <w:sz w:val="22"/>
          <w:szCs w:val="22"/>
        </w:rPr>
        <w:t xml:space="preserve"> as opposed to limiting deferral from a like-kind exchange to $500,000 for single filers and $1 million for joint filers</w:t>
      </w:r>
      <w:r w:rsidR="006418C1">
        <w:rPr>
          <w:rFonts w:ascii="Georgia" w:hAnsi="Georgia"/>
          <w:sz w:val="22"/>
          <w:szCs w:val="22"/>
        </w:rPr>
        <w:t>,</w:t>
      </w:r>
      <w:r w:rsidR="00C47E52">
        <w:rPr>
          <w:rFonts w:ascii="Georgia" w:hAnsi="Georgia"/>
          <w:sz w:val="22"/>
          <w:szCs w:val="22"/>
        </w:rPr>
        <w:t xml:space="preserve"> as the Biden Administration proposes. The Biden Administration’s like-kind exchange tax proposal would effectively eliminate the multifamily industry’s ability to use this critical tool that fosters significant investment in apartments.</w:t>
      </w:r>
    </w:p>
    <w:p w14:paraId="29106350" w14:textId="77777777" w:rsidR="00C517C6" w:rsidRDefault="00C517C6" w:rsidP="00C517C6">
      <w:pPr>
        <w:ind w:left="-475" w:right="-187"/>
        <w:jc w:val="both"/>
        <w:rPr>
          <w:rFonts w:ascii="Georgia" w:hAnsi="Georgia"/>
          <w:sz w:val="22"/>
          <w:szCs w:val="22"/>
        </w:rPr>
      </w:pPr>
    </w:p>
    <w:p w14:paraId="487482DF" w14:textId="31C5818B" w:rsidR="006418C1" w:rsidRDefault="00000000" w:rsidP="00C517C6">
      <w:pPr>
        <w:ind w:left="-475" w:right="-187"/>
        <w:jc w:val="both"/>
        <w:rPr>
          <w:rFonts w:ascii="Georgia" w:hAnsi="Georgia"/>
          <w:sz w:val="22"/>
          <w:szCs w:val="22"/>
        </w:rPr>
      </w:pPr>
      <w:r>
        <w:rPr>
          <w:rFonts w:ascii="Georgia" w:hAnsi="Georgia"/>
          <w:sz w:val="22"/>
          <w:szCs w:val="22"/>
        </w:rPr>
        <w:t>Appropriately r</w:t>
      </w:r>
      <w:r w:rsidRPr="00C517C6">
        <w:rPr>
          <w:rFonts w:ascii="Georgia" w:hAnsi="Georgia"/>
          <w:sz w:val="22"/>
          <w:szCs w:val="22"/>
        </w:rPr>
        <w:t xml:space="preserve">etained for real property as part of the </w:t>
      </w:r>
      <w:r>
        <w:rPr>
          <w:rFonts w:ascii="Georgia" w:hAnsi="Georgia"/>
          <w:i/>
          <w:iCs/>
          <w:sz w:val="22"/>
          <w:szCs w:val="22"/>
        </w:rPr>
        <w:t>TCJA</w:t>
      </w:r>
      <w:r w:rsidRPr="00C517C6">
        <w:rPr>
          <w:rFonts w:ascii="Georgia" w:hAnsi="Georgia"/>
          <w:sz w:val="22"/>
          <w:szCs w:val="22"/>
        </w:rPr>
        <w:t xml:space="preserve">, </w:t>
      </w:r>
      <w:r>
        <w:rPr>
          <w:rFonts w:ascii="Georgia" w:hAnsi="Georgia"/>
          <w:sz w:val="22"/>
          <w:szCs w:val="22"/>
        </w:rPr>
        <w:t xml:space="preserve">the </w:t>
      </w:r>
      <w:r w:rsidRPr="00C517C6">
        <w:rPr>
          <w:rFonts w:ascii="Georgia" w:hAnsi="Georgia"/>
          <w:sz w:val="22"/>
          <w:szCs w:val="22"/>
        </w:rPr>
        <w:t>like-kind exchange rules encourage investors to remain invested in real estate by allowing property owners to defer</w:t>
      </w:r>
      <w:r>
        <w:rPr>
          <w:rFonts w:ascii="Georgia" w:hAnsi="Georgia"/>
          <w:sz w:val="22"/>
          <w:szCs w:val="22"/>
        </w:rPr>
        <w:t xml:space="preserve"> tax </w:t>
      </w:r>
      <w:proofErr w:type="gramStart"/>
      <w:r>
        <w:rPr>
          <w:rFonts w:ascii="Georgia" w:hAnsi="Georgia"/>
          <w:sz w:val="22"/>
          <w:szCs w:val="22"/>
        </w:rPr>
        <w:t xml:space="preserve">on </w:t>
      </w:r>
      <w:r w:rsidRPr="00C517C6">
        <w:rPr>
          <w:rFonts w:ascii="Georgia" w:hAnsi="Georgia"/>
          <w:sz w:val="22"/>
          <w:szCs w:val="22"/>
        </w:rPr>
        <w:t xml:space="preserve"> capital</w:t>
      </w:r>
      <w:proofErr w:type="gramEnd"/>
      <w:r w:rsidRPr="00C517C6">
        <w:rPr>
          <w:rFonts w:ascii="Georgia" w:hAnsi="Georgia"/>
          <w:sz w:val="22"/>
          <w:szCs w:val="22"/>
        </w:rPr>
        <w:t xml:space="preserve"> gains if, instead of selling their property, they exchange it for another comparable property. </w:t>
      </w:r>
      <w:proofErr w:type="gramStart"/>
      <w:r w:rsidRPr="00C517C6">
        <w:rPr>
          <w:rFonts w:ascii="Georgia" w:hAnsi="Georgia"/>
          <w:sz w:val="22"/>
          <w:szCs w:val="22"/>
        </w:rPr>
        <w:t>As long as</w:t>
      </w:r>
      <w:proofErr w:type="gramEnd"/>
      <w:r w:rsidRPr="00C517C6">
        <w:rPr>
          <w:rFonts w:ascii="Georgia" w:hAnsi="Georgia"/>
          <w:sz w:val="22"/>
          <w:szCs w:val="22"/>
        </w:rPr>
        <w:t xml:space="preserve"> the taxpayer remains invested in real estate, tax on any gain is deferred. When the taxpayer ultimately does sell the asset, the tax </w:t>
      </w:r>
      <w:r w:rsidR="00BB61B3">
        <w:rPr>
          <w:rFonts w:ascii="Georgia" w:hAnsi="Georgia"/>
          <w:sz w:val="22"/>
          <w:szCs w:val="22"/>
        </w:rPr>
        <w:t xml:space="preserve">relating to the gain on the property </w:t>
      </w:r>
      <w:r w:rsidRPr="00C517C6">
        <w:rPr>
          <w:rFonts w:ascii="Georgia" w:hAnsi="Georgia"/>
          <w:sz w:val="22"/>
          <w:szCs w:val="22"/>
        </w:rPr>
        <w:t xml:space="preserve">is </w:t>
      </w:r>
      <w:r w:rsidR="00BB61B3">
        <w:rPr>
          <w:rFonts w:ascii="Georgia" w:hAnsi="Georgia"/>
          <w:sz w:val="22"/>
          <w:szCs w:val="22"/>
        </w:rPr>
        <w:t>due</w:t>
      </w:r>
      <w:r w:rsidRPr="00C517C6">
        <w:rPr>
          <w:rFonts w:ascii="Georgia" w:hAnsi="Georgia"/>
          <w:sz w:val="22"/>
          <w:szCs w:val="22"/>
        </w:rPr>
        <w:t>.</w:t>
      </w:r>
    </w:p>
    <w:p w14:paraId="20836119" w14:textId="1CEC5344" w:rsidR="006418C1" w:rsidRDefault="00000000" w:rsidP="00C517C6">
      <w:pPr>
        <w:ind w:left="-475" w:right="-187"/>
        <w:jc w:val="both"/>
        <w:rPr>
          <w:rFonts w:ascii="Georgia" w:hAnsi="Georgia"/>
          <w:sz w:val="22"/>
          <w:szCs w:val="22"/>
        </w:rPr>
      </w:pPr>
      <w:r w:rsidRPr="00C517C6">
        <w:rPr>
          <w:rFonts w:ascii="Georgia" w:hAnsi="Georgia"/>
          <w:sz w:val="22"/>
          <w:szCs w:val="22"/>
        </w:rPr>
        <w:br/>
        <w:t xml:space="preserve">Like-kind exchange rules play a crucial role in supporting the multifamily sector by encouraging investors to remain invested in real estate while still allowing them to balance their investments to shift resources to more productive properties, change geographic location, or diversify or consolidate holdings. </w:t>
      </w:r>
    </w:p>
    <w:p w14:paraId="0588235B" w14:textId="01078B90" w:rsidR="00C517C6" w:rsidRDefault="00000000" w:rsidP="00C517C6">
      <w:pPr>
        <w:ind w:left="-475" w:right="-187"/>
        <w:jc w:val="both"/>
        <w:rPr>
          <w:rFonts w:ascii="Georgia" w:hAnsi="Georgia"/>
          <w:sz w:val="22"/>
          <w:szCs w:val="22"/>
        </w:rPr>
      </w:pPr>
      <w:r w:rsidRPr="00C517C6">
        <w:rPr>
          <w:rFonts w:ascii="Georgia" w:hAnsi="Georgia"/>
          <w:sz w:val="22"/>
          <w:szCs w:val="22"/>
        </w:rPr>
        <w:br/>
        <w:t xml:space="preserve">In addition, without like-kind exchanges, property owners </w:t>
      </w:r>
      <w:r w:rsidR="00BB61B3">
        <w:rPr>
          <w:rFonts w:ascii="Georgia" w:hAnsi="Georgia"/>
          <w:sz w:val="22"/>
          <w:szCs w:val="22"/>
        </w:rPr>
        <w:t>would be</w:t>
      </w:r>
      <w:r w:rsidRPr="00C517C6">
        <w:rPr>
          <w:rFonts w:ascii="Georgia" w:hAnsi="Georgia"/>
          <w:sz w:val="22"/>
          <w:szCs w:val="22"/>
        </w:rPr>
        <w:t xml:space="preserve"> deterred for tax reasons from selling assets that </w:t>
      </w:r>
      <w:proofErr w:type="gramStart"/>
      <w:r w:rsidRPr="00C517C6">
        <w:rPr>
          <w:rFonts w:ascii="Georgia" w:hAnsi="Georgia"/>
          <w:sz w:val="22"/>
          <w:szCs w:val="22"/>
        </w:rPr>
        <w:t>are in need of</w:t>
      </w:r>
      <w:proofErr w:type="gramEnd"/>
      <w:r w:rsidRPr="00C517C6">
        <w:rPr>
          <w:rFonts w:ascii="Georgia" w:hAnsi="Georgia"/>
          <w:sz w:val="22"/>
          <w:szCs w:val="22"/>
        </w:rPr>
        <w:t xml:space="preserve"> capital investment. Exchange rules allow those owners to transfer the property to new owners who can invest the necessary capital to revitalize the asset. Thus, like-kind exchange rules facilitate job-creating property upgrades and improvements. </w:t>
      </w:r>
    </w:p>
    <w:p w14:paraId="3CA3076C" w14:textId="77777777" w:rsidR="00BE241E" w:rsidRDefault="00BE241E" w:rsidP="00C517C6">
      <w:pPr>
        <w:ind w:left="-475" w:right="-187"/>
        <w:jc w:val="both"/>
        <w:rPr>
          <w:rFonts w:ascii="Georgia" w:hAnsi="Georgia"/>
          <w:sz w:val="22"/>
          <w:szCs w:val="22"/>
        </w:rPr>
      </w:pPr>
    </w:p>
    <w:p w14:paraId="19391E7E" w14:textId="249CAF13" w:rsidR="00BB61B3" w:rsidRDefault="00000000" w:rsidP="00BE241E">
      <w:pPr>
        <w:ind w:left="-475" w:right="-187"/>
        <w:jc w:val="both"/>
        <w:rPr>
          <w:rFonts w:ascii="Georgia" w:hAnsi="Georgia"/>
          <w:sz w:val="22"/>
          <w:szCs w:val="22"/>
        </w:rPr>
      </w:pPr>
      <w:bookmarkStart w:id="5" w:name="_Hlk166758948"/>
      <w:r w:rsidRPr="009A6E80">
        <w:rPr>
          <w:rFonts w:ascii="Georgia" w:hAnsi="Georgia"/>
          <w:i/>
          <w:iCs/>
          <w:sz w:val="22"/>
          <w:szCs w:val="22"/>
        </w:rPr>
        <w:t>Like-Kind Exchange Example</w:t>
      </w:r>
      <w:r w:rsidR="009A6E80">
        <w:rPr>
          <w:rFonts w:ascii="Georgia" w:hAnsi="Georgia"/>
          <w:i/>
          <w:iCs/>
          <w:sz w:val="22"/>
          <w:szCs w:val="22"/>
        </w:rPr>
        <w:t>:</w:t>
      </w:r>
      <w:r w:rsidRPr="00BE241E">
        <w:rPr>
          <w:rFonts w:ascii="Georgia" w:hAnsi="Georgia"/>
          <w:b/>
          <w:bCs/>
          <w:sz w:val="22"/>
          <w:szCs w:val="22"/>
        </w:rPr>
        <w:t xml:space="preserve"> </w:t>
      </w:r>
      <w:r w:rsidRPr="00BE241E">
        <w:rPr>
          <w:rFonts w:ascii="Georgia" w:hAnsi="Georgia"/>
          <w:sz w:val="22"/>
          <w:szCs w:val="22"/>
        </w:rPr>
        <w:t>Taxpayer A owns a 10-unit multifamily property worth $</w:t>
      </w:r>
      <w:r w:rsidR="00D862FC">
        <w:rPr>
          <w:rFonts w:ascii="Georgia" w:hAnsi="Georgia"/>
          <w:sz w:val="22"/>
          <w:szCs w:val="22"/>
        </w:rPr>
        <w:t xml:space="preserve">2 </w:t>
      </w:r>
      <w:r w:rsidRPr="00BE241E">
        <w:rPr>
          <w:rFonts w:ascii="Georgia" w:hAnsi="Georgia"/>
          <w:sz w:val="22"/>
          <w:szCs w:val="22"/>
        </w:rPr>
        <w:t xml:space="preserve">million. </w:t>
      </w:r>
      <w:r w:rsidR="00D862FC">
        <w:rPr>
          <w:rFonts w:ascii="Georgia" w:hAnsi="Georgia"/>
          <w:sz w:val="22"/>
          <w:szCs w:val="22"/>
        </w:rPr>
        <w:t>Her</w:t>
      </w:r>
      <w:r w:rsidRPr="00BE241E">
        <w:rPr>
          <w:rFonts w:ascii="Georgia" w:hAnsi="Georgia"/>
          <w:sz w:val="22"/>
          <w:szCs w:val="22"/>
        </w:rPr>
        <w:t xml:space="preserve"> tax basis, or current investment interest, in the property is $1 million, leaving a $</w:t>
      </w:r>
      <w:r w:rsidR="00D862FC">
        <w:rPr>
          <w:rFonts w:ascii="Georgia" w:hAnsi="Georgia"/>
          <w:sz w:val="22"/>
          <w:szCs w:val="22"/>
        </w:rPr>
        <w:t xml:space="preserve">1 million </w:t>
      </w:r>
      <w:r w:rsidRPr="00BE241E">
        <w:rPr>
          <w:rFonts w:ascii="Georgia" w:hAnsi="Georgia"/>
          <w:sz w:val="22"/>
          <w:szCs w:val="22"/>
        </w:rPr>
        <w:t xml:space="preserve">taxable gain if </w:t>
      </w:r>
      <w:r w:rsidR="00D862FC">
        <w:rPr>
          <w:rFonts w:ascii="Georgia" w:hAnsi="Georgia"/>
          <w:sz w:val="22"/>
          <w:szCs w:val="22"/>
        </w:rPr>
        <w:t>s</w:t>
      </w:r>
      <w:r w:rsidRPr="00BE241E">
        <w:rPr>
          <w:rFonts w:ascii="Georgia" w:hAnsi="Georgia"/>
          <w:sz w:val="22"/>
          <w:szCs w:val="22"/>
        </w:rPr>
        <w:t xml:space="preserve">he were to sell it. </w:t>
      </w:r>
      <w:r>
        <w:rPr>
          <w:rFonts w:ascii="Georgia" w:hAnsi="Georgia"/>
          <w:sz w:val="22"/>
          <w:szCs w:val="22"/>
        </w:rPr>
        <w:t xml:space="preserve">Taxpayer A </w:t>
      </w:r>
      <w:r w:rsidRPr="00BE241E">
        <w:rPr>
          <w:rFonts w:ascii="Georgia" w:hAnsi="Georgia"/>
          <w:sz w:val="22"/>
          <w:szCs w:val="22"/>
        </w:rPr>
        <w:t xml:space="preserve">wants to sell this property </w:t>
      </w:r>
      <w:r w:rsidR="00F444A9">
        <w:rPr>
          <w:rFonts w:ascii="Georgia" w:hAnsi="Georgia"/>
          <w:sz w:val="22"/>
          <w:szCs w:val="22"/>
        </w:rPr>
        <w:t xml:space="preserve">and use the proceeds </w:t>
      </w:r>
      <w:r w:rsidRPr="00BE241E">
        <w:rPr>
          <w:rFonts w:ascii="Georgia" w:hAnsi="Georgia"/>
          <w:sz w:val="22"/>
          <w:szCs w:val="22"/>
        </w:rPr>
        <w:t>to</w:t>
      </w:r>
      <w:r w:rsidR="00F444A9">
        <w:rPr>
          <w:rFonts w:ascii="Georgia" w:hAnsi="Georgia"/>
          <w:sz w:val="22"/>
          <w:szCs w:val="22"/>
        </w:rPr>
        <w:t xml:space="preserve"> help</w:t>
      </w:r>
      <w:r w:rsidRPr="00BE241E">
        <w:rPr>
          <w:rFonts w:ascii="Georgia" w:hAnsi="Georgia"/>
          <w:sz w:val="22"/>
          <w:szCs w:val="22"/>
        </w:rPr>
        <w:t xml:space="preserve"> purchase a $</w:t>
      </w:r>
      <w:r w:rsidR="00D862FC">
        <w:rPr>
          <w:rFonts w:ascii="Georgia" w:hAnsi="Georgia"/>
          <w:sz w:val="22"/>
          <w:szCs w:val="22"/>
        </w:rPr>
        <w:t>3</w:t>
      </w:r>
      <w:r w:rsidRPr="00BE241E">
        <w:rPr>
          <w:rFonts w:ascii="Georgia" w:hAnsi="Georgia"/>
          <w:sz w:val="22"/>
          <w:szCs w:val="22"/>
        </w:rPr>
        <w:t xml:space="preserve"> million, 1</w:t>
      </w:r>
      <w:r w:rsidR="00D862FC">
        <w:rPr>
          <w:rFonts w:ascii="Georgia" w:hAnsi="Georgia"/>
          <w:sz w:val="22"/>
          <w:szCs w:val="22"/>
        </w:rPr>
        <w:t>5</w:t>
      </w:r>
      <w:r w:rsidRPr="00BE241E">
        <w:rPr>
          <w:rFonts w:ascii="Georgia" w:hAnsi="Georgia"/>
          <w:sz w:val="22"/>
          <w:szCs w:val="22"/>
        </w:rPr>
        <w:t xml:space="preserve">-unit apartment building. If </w:t>
      </w:r>
      <w:r w:rsidR="00D862FC">
        <w:rPr>
          <w:rFonts w:ascii="Georgia" w:hAnsi="Georgia"/>
          <w:sz w:val="22"/>
          <w:szCs w:val="22"/>
        </w:rPr>
        <w:t>s</w:t>
      </w:r>
      <w:r w:rsidRPr="00BE241E">
        <w:rPr>
          <w:rFonts w:ascii="Georgia" w:hAnsi="Georgia"/>
          <w:sz w:val="22"/>
          <w:szCs w:val="22"/>
        </w:rPr>
        <w:t xml:space="preserve">he were to sell the first building and buy the second, </w:t>
      </w:r>
      <w:r w:rsidR="00D862FC">
        <w:rPr>
          <w:rFonts w:ascii="Georgia" w:hAnsi="Georgia"/>
          <w:sz w:val="22"/>
          <w:szCs w:val="22"/>
        </w:rPr>
        <w:t>s</w:t>
      </w:r>
      <w:r w:rsidRPr="00BE241E">
        <w:rPr>
          <w:rFonts w:ascii="Georgia" w:hAnsi="Georgia"/>
          <w:sz w:val="22"/>
          <w:szCs w:val="22"/>
        </w:rPr>
        <w:t>he would have to pay tax on the $</w:t>
      </w:r>
      <w:r w:rsidR="00D862FC">
        <w:rPr>
          <w:rFonts w:ascii="Georgia" w:hAnsi="Georgia"/>
          <w:sz w:val="22"/>
          <w:szCs w:val="22"/>
        </w:rPr>
        <w:t xml:space="preserve">1 million </w:t>
      </w:r>
      <w:r w:rsidRPr="00BE241E">
        <w:rPr>
          <w:rFonts w:ascii="Georgia" w:hAnsi="Georgia"/>
          <w:sz w:val="22"/>
          <w:szCs w:val="22"/>
        </w:rPr>
        <w:t xml:space="preserve">gain, which </w:t>
      </w:r>
      <w:r>
        <w:rPr>
          <w:rFonts w:ascii="Georgia" w:hAnsi="Georgia"/>
          <w:sz w:val="22"/>
          <w:szCs w:val="22"/>
        </w:rPr>
        <w:t>at a minimum would reduce the capital available to invest in the new property and may otherwise</w:t>
      </w:r>
      <w:r w:rsidRPr="00BE241E">
        <w:rPr>
          <w:rFonts w:ascii="Georgia" w:hAnsi="Georgia"/>
          <w:sz w:val="22"/>
          <w:szCs w:val="22"/>
        </w:rPr>
        <w:t xml:space="preserve"> discourage h</w:t>
      </w:r>
      <w:r w:rsidR="00D862FC">
        <w:rPr>
          <w:rFonts w:ascii="Georgia" w:hAnsi="Georgia"/>
          <w:sz w:val="22"/>
          <w:szCs w:val="22"/>
        </w:rPr>
        <w:t>er</w:t>
      </w:r>
      <w:r w:rsidRPr="00BE241E">
        <w:rPr>
          <w:rFonts w:ascii="Georgia" w:hAnsi="Georgia"/>
          <w:sz w:val="22"/>
          <w:szCs w:val="22"/>
        </w:rPr>
        <w:t xml:space="preserve"> from pursuing the transaction.</w:t>
      </w:r>
    </w:p>
    <w:p w14:paraId="68CC553E" w14:textId="14C76B3B" w:rsidR="00BE241E" w:rsidRPr="00BE241E" w:rsidRDefault="00000000" w:rsidP="00BE241E">
      <w:pPr>
        <w:ind w:left="-475" w:right="-187"/>
        <w:jc w:val="both"/>
        <w:rPr>
          <w:rFonts w:ascii="Georgia" w:hAnsi="Georgia"/>
          <w:sz w:val="22"/>
          <w:szCs w:val="22"/>
        </w:rPr>
      </w:pPr>
      <w:r w:rsidRPr="00BE241E">
        <w:rPr>
          <w:rFonts w:ascii="Georgia" w:hAnsi="Georgia"/>
          <w:sz w:val="22"/>
          <w:szCs w:val="22"/>
        </w:rPr>
        <w:br/>
        <w:t xml:space="preserve">With a like-kind exchange, </w:t>
      </w:r>
      <w:r w:rsidR="00D862FC">
        <w:rPr>
          <w:rFonts w:ascii="Georgia" w:hAnsi="Georgia"/>
          <w:sz w:val="22"/>
          <w:szCs w:val="22"/>
        </w:rPr>
        <w:t>s</w:t>
      </w:r>
      <w:r w:rsidRPr="00BE241E">
        <w:rPr>
          <w:rFonts w:ascii="Georgia" w:hAnsi="Georgia"/>
          <w:sz w:val="22"/>
          <w:szCs w:val="22"/>
        </w:rPr>
        <w:t xml:space="preserve">he can exchange the assets and defer </w:t>
      </w:r>
      <w:r w:rsidR="00D862FC">
        <w:rPr>
          <w:rFonts w:ascii="Georgia" w:hAnsi="Georgia"/>
          <w:sz w:val="22"/>
          <w:szCs w:val="22"/>
        </w:rPr>
        <w:t>capital</w:t>
      </w:r>
      <w:r w:rsidRPr="00BE241E">
        <w:rPr>
          <w:rFonts w:ascii="Georgia" w:hAnsi="Georgia"/>
          <w:sz w:val="22"/>
          <w:szCs w:val="22"/>
        </w:rPr>
        <w:t xml:space="preserve"> gains. In this transaction, </w:t>
      </w:r>
      <w:r w:rsidR="00D862FC">
        <w:rPr>
          <w:rFonts w:ascii="Georgia" w:hAnsi="Georgia"/>
          <w:sz w:val="22"/>
          <w:szCs w:val="22"/>
        </w:rPr>
        <w:t>sh</w:t>
      </w:r>
      <w:r w:rsidRPr="00BE241E">
        <w:rPr>
          <w:rFonts w:ascii="Georgia" w:hAnsi="Georgia"/>
          <w:sz w:val="22"/>
          <w:szCs w:val="22"/>
        </w:rPr>
        <w:t xml:space="preserve">e exchanges </w:t>
      </w:r>
      <w:r w:rsidR="00FF36B1">
        <w:rPr>
          <w:rFonts w:ascii="Georgia" w:hAnsi="Georgia"/>
          <w:sz w:val="22"/>
          <w:szCs w:val="22"/>
        </w:rPr>
        <w:t>her</w:t>
      </w:r>
      <w:r w:rsidRPr="00BE241E">
        <w:rPr>
          <w:rFonts w:ascii="Georgia" w:hAnsi="Georgia"/>
          <w:sz w:val="22"/>
          <w:szCs w:val="22"/>
        </w:rPr>
        <w:t xml:space="preserve"> property for the new one</w:t>
      </w:r>
      <w:r w:rsidR="00F444A9">
        <w:rPr>
          <w:rFonts w:ascii="Georgia" w:hAnsi="Georgia"/>
          <w:sz w:val="22"/>
          <w:szCs w:val="22"/>
        </w:rPr>
        <w:t xml:space="preserve"> (with a loan to account for the remaining </w:t>
      </w:r>
      <w:r w:rsidR="00FF36B1">
        <w:rPr>
          <w:rFonts w:ascii="Georgia" w:hAnsi="Georgia"/>
          <w:sz w:val="22"/>
          <w:szCs w:val="22"/>
        </w:rPr>
        <w:t xml:space="preserve">$1 million </w:t>
      </w:r>
      <w:r w:rsidR="00F444A9">
        <w:rPr>
          <w:rFonts w:ascii="Georgia" w:hAnsi="Georgia"/>
          <w:sz w:val="22"/>
          <w:szCs w:val="22"/>
        </w:rPr>
        <w:t>purchase price)</w:t>
      </w:r>
      <w:r w:rsidR="00D862FC">
        <w:rPr>
          <w:rFonts w:ascii="Georgia" w:hAnsi="Georgia"/>
          <w:sz w:val="22"/>
          <w:szCs w:val="22"/>
        </w:rPr>
        <w:t>, and her</w:t>
      </w:r>
      <w:r w:rsidRPr="00BE241E">
        <w:rPr>
          <w:rFonts w:ascii="Georgia" w:hAnsi="Georgia"/>
          <w:sz w:val="22"/>
          <w:szCs w:val="22"/>
        </w:rPr>
        <w:t xml:space="preserve"> tax basis in the new property </w:t>
      </w:r>
      <w:r w:rsidR="00FF36B1">
        <w:rPr>
          <w:rFonts w:ascii="Georgia" w:hAnsi="Georgia"/>
          <w:sz w:val="22"/>
          <w:szCs w:val="22"/>
        </w:rPr>
        <w:t>increases to</w:t>
      </w:r>
      <w:r w:rsidRPr="00BE241E">
        <w:rPr>
          <w:rFonts w:ascii="Georgia" w:hAnsi="Georgia"/>
          <w:sz w:val="22"/>
          <w:szCs w:val="22"/>
        </w:rPr>
        <w:t xml:space="preserve"> $</w:t>
      </w:r>
      <w:r w:rsidR="00FF36B1">
        <w:rPr>
          <w:rFonts w:ascii="Georgia" w:hAnsi="Georgia"/>
          <w:sz w:val="22"/>
          <w:szCs w:val="22"/>
        </w:rPr>
        <w:t>2</w:t>
      </w:r>
      <w:r w:rsidRPr="00BE241E">
        <w:rPr>
          <w:rFonts w:ascii="Georgia" w:hAnsi="Georgia"/>
          <w:sz w:val="22"/>
          <w:szCs w:val="22"/>
        </w:rPr>
        <w:t xml:space="preserve"> million. </w:t>
      </w:r>
      <w:r w:rsidR="00D862FC">
        <w:rPr>
          <w:rFonts w:ascii="Georgia" w:hAnsi="Georgia"/>
          <w:sz w:val="22"/>
          <w:szCs w:val="22"/>
        </w:rPr>
        <w:t xml:space="preserve">The $1 million in capital gain </w:t>
      </w:r>
      <w:r w:rsidR="00FF36B1">
        <w:rPr>
          <w:rFonts w:ascii="Georgia" w:hAnsi="Georgia"/>
          <w:sz w:val="22"/>
          <w:szCs w:val="22"/>
        </w:rPr>
        <w:t xml:space="preserve">from the </w:t>
      </w:r>
      <w:r w:rsidR="00AA2EFE">
        <w:rPr>
          <w:rFonts w:ascii="Georgia" w:hAnsi="Georgia"/>
          <w:sz w:val="22"/>
          <w:szCs w:val="22"/>
        </w:rPr>
        <w:t xml:space="preserve">sale of the 10-unit </w:t>
      </w:r>
      <w:r w:rsidR="00FF36B1">
        <w:rPr>
          <w:rFonts w:ascii="Georgia" w:hAnsi="Georgia"/>
          <w:sz w:val="22"/>
          <w:szCs w:val="22"/>
        </w:rPr>
        <w:t xml:space="preserve">property </w:t>
      </w:r>
      <w:r w:rsidR="00D862FC">
        <w:rPr>
          <w:rFonts w:ascii="Georgia" w:hAnsi="Georgia"/>
          <w:sz w:val="22"/>
          <w:szCs w:val="22"/>
        </w:rPr>
        <w:t xml:space="preserve">is deferred until she sells the new asset. </w:t>
      </w:r>
      <w:r w:rsidRPr="00BE241E">
        <w:rPr>
          <w:rFonts w:ascii="Georgia" w:hAnsi="Georgia"/>
          <w:sz w:val="22"/>
          <w:szCs w:val="22"/>
        </w:rPr>
        <w:t xml:space="preserve">A </w:t>
      </w:r>
      <w:r w:rsidR="006949BD">
        <w:rPr>
          <w:rFonts w:ascii="Georgia" w:hAnsi="Georgia"/>
          <w:sz w:val="22"/>
          <w:szCs w:val="22"/>
        </w:rPr>
        <w:t>like-kind</w:t>
      </w:r>
      <w:r w:rsidRPr="00BE241E">
        <w:rPr>
          <w:rFonts w:ascii="Georgia" w:hAnsi="Georgia"/>
          <w:sz w:val="22"/>
          <w:szCs w:val="22"/>
        </w:rPr>
        <w:t xml:space="preserve"> exchange allows h</w:t>
      </w:r>
      <w:r w:rsidR="00D862FC">
        <w:rPr>
          <w:rFonts w:ascii="Georgia" w:hAnsi="Georgia"/>
          <w:sz w:val="22"/>
          <w:szCs w:val="22"/>
        </w:rPr>
        <w:t>er</w:t>
      </w:r>
      <w:r w:rsidRPr="00BE241E">
        <w:rPr>
          <w:rFonts w:ascii="Georgia" w:hAnsi="Georgia"/>
          <w:sz w:val="22"/>
          <w:szCs w:val="22"/>
        </w:rPr>
        <w:t xml:space="preserve"> to continue investing in job-creating real estate instead of being forced to hold properties solely for tax considerations.</w:t>
      </w:r>
    </w:p>
    <w:bookmarkEnd w:id="5"/>
    <w:p w14:paraId="0DBC597F" w14:textId="244EE979" w:rsidR="00CE1B5A" w:rsidRPr="00093D4C" w:rsidRDefault="00000000" w:rsidP="00552215">
      <w:pPr>
        <w:ind w:left="-475" w:right="-187"/>
        <w:jc w:val="both"/>
        <w:rPr>
          <w:rFonts w:ascii="Georgia" w:hAnsi="Georgia"/>
          <w:b/>
          <w:bCs/>
          <w:i/>
          <w:iCs/>
          <w:sz w:val="22"/>
          <w:szCs w:val="22"/>
        </w:rPr>
      </w:pPr>
      <w:r w:rsidRPr="00093D4C">
        <w:rPr>
          <w:rFonts w:ascii="Georgia" w:hAnsi="Georgia"/>
          <w:b/>
          <w:bCs/>
          <w:i/>
          <w:iCs/>
          <w:sz w:val="22"/>
          <w:szCs w:val="22"/>
        </w:rPr>
        <w:lastRenderedPageBreak/>
        <w:t>Tax Carried Interest as Ordinary Income</w:t>
      </w:r>
    </w:p>
    <w:p w14:paraId="12D51987" w14:textId="77777777" w:rsidR="00034B7F" w:rsidRDefault="00034B7F" w:rsidP="00552215">
      <w:pPr>
        <w:ind w:left="-475" w:right="-187"/>
        <w:jc w:val="both"/>
        <w:rPr>
          <w:rFonts w:ascii="Georgia" w:hAnsi="Georgia"/>
          <w:sz w:val="22"/>
          <w:szCs w:val="22"/>
        </w:rPr>
      </w:pPr>
    </w:p>
    <w:p w14:paraId="5771B01A" w14:textId="6F18412F" w:rsidR="00093D4C" w:rsidRDefault="00000000" w:rsidP="00093D4C">
      <w:pPr>
        <w:ind w:left="-475" w:right="-187"/>
        <w:jc w:val="both"/>
        <w:rPr>
          <w:rFonts w:ascii="Georgia" w:hAnsi="Georgia"/>
          <w:sz w:val="22"/>
          <w:szCs w:val="22"/>
        </w:rPr>
      </w:pPr>
      <w:r>
        <w:rPr>
          <w:rFonts w:ascii="Georgia" w:hAnsi="Georgia"/>
          <w:sz w:val="22"/>
          <w:szCs w:val="22"/>
        </w:rPr>
        <w:t xml:space="preserve">The Biden Administration </w:t>
      </w:r>
      <w:r w:rsidR="00BB61B3">
        <w:rPr>
          <w:rFonts w:ascii="Georgia" w:hAnsi="Georgia"/>
          <w:sz w:val="22"/>
          <w:szCs w:val="22"/>
        </w:rPr>
        <w:t xml:space="preserve">proposes to </w:t>
      </w:r>
      <w:r w:rsidRPr="00C517C6">
        <w:rPr>
          <w:rFonts w:ascii="Georgia" w:hAnsi="Georgia"/>
          <w:sz w:val="22"/>
          <w:szCs w:val="22"/>
        </w:rPr>
        <w:t>tax carried interest at ordinary income rates regardless of how long an asset is held</w:t>
      </w:r>
      <w:r w:rsidR="00BB61B3">
        <w:rPr>
          <w:rFonts w:ascii="Georgia" w:hAnsi="Georgia"/>
          <w:sz w:val="22"/>
          <w:szCs w:val="22"/>
        </w:rPr>
        <w:t>, with the proposal applicable only</w:t>
      </w:r>
      <w:r>
        <w:rPr>
          <w:rFonts w:ascii="Georgia" w:hAnsi="Georgia"/>
          <w:sz w:val="22"/>
          <w:szCs w:val="22"/>
        </w:rPr>
        <w:t xml:space="preserve"> if a partner’s taxable income exceeds $400,000</w:t>
      </w:r>
      <w:r w:rsidRPr="00C517C6">
        <w:rPr>
          <w:rFonts w:ascii="Georgia" w:hAnsi="Georgia"/>
          <w:sz w:val="22"/>
          <w:szCs w:val="22"/>
        </w:rPr>
        <w:t>. Such a change would adversely affect not only the apartment industry, but also the entire real</w:t>
      </w:r>
      <w:r w:rsidR="00CC2AB8">
        <w:rPr>
          <w:rFonts w:ascii="Georgia" w:hAnsi="Georgia"/>
          <w:sz w:val="22"/>
          <w:szCs w:val="22"/>
        </w:rPr>
        <w:t>-</w:t>
      </w:r>
      <w:r w:rsidRPr="00C517C6">
        <w:rPr>
          <w:rFonts w:ascii="Georgia" w:hAnsi="Georgia"/>
          <w:sz w:val="22"/>
          <w:szCs w:val="22"/>
        </w:rPr>
        <w:t xml:space="preserve">estate industry, given that </w:t>
      </w:r>
      <w:r>
        <w:rPr>
          <w:rFonts w:ascii="Georgia" w:hAnsi="Georgia"/>
          <w:sz w:val="22"/>
          <w:szCs w:val="22"/>
        </w:rPr>
        <w:t>49.6</w:t>
      </w:r>
      <w:r w:rsidRPr="00C517C6">
        <w:rPr>
          <w:rFonts w:ascii="Georgia" w:hAnsi="Georgia"/>
          <w:sz w:val="22"/>
          <w:szCs w:val="22"/>
        </w:rPr>
        <w:t xml:space="preserve"> percent of all partnerships are real-estate related.</w:t>
      </w:r>
      <w:r>
        <w:rPr>
          <w:rStyle w:val="FootnoteReference"/>
          <w:rFonts w:ascii="Georgia" w:hAnsi="Georgia"/>
          <w:sz w:val="22"/>
          <w:szCs w:val="22"/>
        </w:rPr>
        <w:footnoteReference w:id="19"/>
      </w:r>
    </w:p>
    <w:p w14:paraId="5E63BB58" w14:textId="77777777" w:rsidR="00093D4C" w:rsidRDefault="00093D4C" w:rsidP="00093D4C">
      <w:pPr>
        <w:ind w:left="-475" w:right="-187"/>
        <w:jc w:val="both"/>
        <w:rPr>
          <w:rFonts w:ascii="Georgia" w:hAnsi="Georgia"/>
          <w:sz w:val="22"/>
          <w:szCs w:val="22"/>
        </w:rPr>
      </w:pPr>
    </w:p>
    <w:p w14:paraId="38187AB9" w14:textId="3851753B" w:rsidR="00CE1B5A" w:rsidRDefault="00000000" w:rsidP="00552215">
      <w:pPr>
        <w:ind w:left="-475" w:right="-187"/>
        <w:jc w:val="both"/>
        <w:rPr>
          <w:rFonts w:ascii="Georgia" w:hAnsi="Georgia"/>
          <w:sz w:val="22"/>
          <w:szCs w:val="22"/>
        </w:rPr>
      </w:pPr>
      <w:r w:rsidRPr="00C517C6">
        <w:rPr>
          <w:rFonts w:ascii="Georgia" w:hAnsi="Georgia"/>
          <w:sz w:val="22"/>
          <w:szCs w:val="22"/>
        </w:rPr>
        <w:t>NMHC</w:t>
      </w:r>
      <w:r>
        <w:rPr>
          <w:rFonts w:ascii="Georgia" w:hAnsi="Georgia"/>
          <w:sz w:val="22"/>
          <w:szCs w:val="22"/>
        </w:rPr>
        <w:t xml:space="preserve"> and </w:t>
      </w:r>
      <w:r w:rsidRPr="00C517C6">
        <w:rPr>
          <w:rFonts w:ascii="Georgia" w:hAnsi="Georgia"/>
          <w:sz w:val="22"/>
          <w:szCs w:val="22"/>
        </w:rPr>
        <w:t xml:space="preserve">NAA believe that carried interest should be treated as a long-term capital gain if the underlying asset is held for at least one year. The </w:t>
      </w:r>
      <w:r>
        <w:rPr>
          <w:rFonts w:ascii="Georgia" w:hAnsi="Georgia"/>
          <w:sz w:val="22"/>
          <w:szCs w:val="22"/>
        </w:rPr>
        <w:t xml:space="preserve">multifamily </w:t>
      </w:r>
      <w:r w:rsidRPr="00C517C6">
        <w:rPr>
          <w:rFonts w:ascii="Georgia" w:hAnsi="Georgia"/>
          <w:sz w:val="22"/>
          <w:szCs w:val="22"/>
        </w:rPr>
        <w:t xml:space="preserve">industry strongly opposed </w:t>
      </w:r>
      <w:r w:rsidR="00BB61B3">
        <w:rPr>
          <w:rFonts w:ascii="Georgia" w:hAnsi="Georgia"/>
          <w:sz w:val="22"/>
          <w:szCs w:val="22"/>
        </w:rPr>
        <w:t>the extension of</w:t>
      </w:r>
      <w:r w:rsidRPr="00C517C6">
        <w:rPr>
          <w:rFonts w:ascii="Georgia" w:hAnsi="Georgia"/>
          <w:sz w:val="22"/>
          <w:szCs w:val="22"/>
        </w:rPr>
        <w:t xml:space="preserve"> the holding period to three years</w:t>
      </w:r>
      <w:r w:rsidR="00BB61B3">
        <w:rPr>
          <w:rFonts w:ascii="Georgia" w:hAnsi="Georgia"/>
          <w:sz w:val="22"/>
          <w:szCs w:val="22"/>
        </w:rPr>
        <w:t xml:space="preserve">, which was included in </w:t>
      </w:r>
      <w:r>
        <w:rPr>
          <w:rFonts w:ascii="Georgia" w:hAnsi="Georgia"/>
          <w:i/>
          <w:iCs/>
          <w:sz w:val="22"/>
          <w:szCs w:val="22"/>
        </w:rPr>
        <w:t>TCJA</w:t>
      </w:r>
      <w:r w:rsidR="00BB61B3">
        <w:rPr>
          <w:rFonts w:ascii="Georgia" w:hAnsi="Georgia"/>
          <w:i/>
          <w:iCs/>
          <w:sz w:val="22"/>
          <w:szCs w:val="22"/>
        </w:rPr>
        <w:t>,</w:t>
      </w:r>
      <w:r>
        <w:rPr>
          <w:rFonts w:ascii="Georgia" w:hAnsi="Georgia"/>
          <w:i/>
          <w:iCs/>
          <w:sz w:val="22"/>
          <w:szCs w:val="22"/>
        </w:rPr>
        <w:t xml:space="preserve"> </w:t>
      </w:r>
      <w:r w:rsidRPr="00C517C6">
        <w:rPr>
          <w:rFonts w:ascii="Georgia" w:hAnsi="Georgia"/>
          <w:sz w:val="22"/>
          <w:szCs w:val="22"/>
        </w:rPr>
        <w:t xml:space="preserve">but </w:t>
      </w:r>
      <w:r w:rsidR="00BB61B3">
        <w:rPr>
          <w:rFonts w:ascii="Georgia" w:hAnsi="Georgia"/>
          <w:sz w:val="22"/>
          <w:szCs w:val="22"/>
        </w:rPr>
        <w:t xml:space="preserve">we </w:t>
      </w:r>
      <w:r w:rsidRPr="00C517C6">
        <w:rPr>
          <w:rFonts w:ascii="Georgia" w:hAnsi="Georgia"/>
          <w:sz w:val="22"/>
          <w:szCs w:val="22"/>
        </w:rPr>
        <w:t xml:space="preserve">note that final regulations released in January 2021 exclude Section 1231 gains </w:t>
      </w:r>
      <w:r w:rsidR="00BB61B3">
        <w:rPr>
          <w:rFonts w:ascii="Georgia" w:hAnsi="Georgia"/>
          <w:sz w:val="22"/>
          <w:szCs w:val="22"/>
        </w:rPr>
        <w:t xml:space="preserve">(which generally relate to gains from property used in a trade or business, including real estate) </w:t>
      </w:r>
      <w:r w:rsidRPr="00C517C6">
        <w:rPr>
          <w:rFonts w:ascii="Georgia" w:hAnsi="Georgia"/>
          <w:sz w:val="22"/>
          <w:szCs w:val="22"/>
        </w:rPr>
        <w:t>from the extended holding period.</w:t>
      </w:r>
      <w:r w:rsidR="00E103CD">
        <w:rPr>
          <w:rFonts w:ascii="Georgia" w:hAnsi="Georgia"/>
          <w:sz w:val="22"/>
          <w:szCs w:val="22"/>
        </w:rPr>
        <w:t xml:space="preserve"> </w:t>
      </w:r>
    </w:p>
    <w:p w14:paraId="693651E8" w14:textId="77777777" w:rsidR="00C517C6" w:rsidRDefault="00C517C6" w:rsidP="00552215">
      <w:pPr>
        <w:ind w:left="-475" w:right="-187"/>
        <w:jc w:val="both"/>
        <w:rPr>
          <w:rFonts w:ascii="Georgia" w:hAnsi="Georgia"/>
          <w:sz w:val="22"/>
          <w:szCs w:val="22"/>
        </w:rPr>
      </w:pPr>
    </w:p>
    <w:p w14:paraId="6F5DE197" w14:textId="77777777" w:rsidR="00C517C6" w:rsidRPr="00C517C6" w:rsidRDefault="00000000" w:rsidP="00C517C6">
      <w:pPr>
        <w:ind w:left="-475" w:right="-187"/>
        <w:jc w:val="both"/>
        <w:rPr>
          <w:rFonts w:ascii="Georgia" w:hAnsi="Georgia"/>
          <w:sz w:val="22"/>
          <w:szCs w:val="22"/>
        </w:rPr>
      </w:pPr>
      <w:r w:rsidRPr="00C517C6">
        <w:rPr>
          <w:rFonts w:ascii="Georgia" w:hAnsi="Georgia"/>
          <w:sz w:val="22"/>
          <w:szCs w:val="22"/>
        </w:rPr>
        <w:t xml:space="preserve">Carried interest should receive capital gains tax treatment because it represents a return on an underlying, long-term capital asset, as well as risk and entrepreneurial activity. This </w:t>
      </w:r>
      <w:proofErr w:type="gramStart"/>
      <w:r w:rsidRPr="00C517C6">
        <w:rPr>
          <w:rFonts w:ascii="Georgia" w:hAnsi="Georgia"/>
          <w:sz w:val="22"/>
          <w:szCs w:val="22"/>
        </w:rPr>
        <w:t>is in contrast to</w:t>
      </w:r>
      <w:proofErr w:type="gramEnd"/>
      <w:r w:rsidRPr="00C517C6">
        <w:rPr>
          <w:rFonts w:ascii="Georgia" w:hAnsi="Georgia"/>
          <w:sz w:val="22"/>
          <w:szCs w:val="22"/>
        </w:rPr>
        <w:t xml:space="preserve"> any fees that managing partners receive in payment for operations and management activities, which are taxed as ordinary income.</w:t>
      </w:r>
    </w:p>
    <w:p w14:paraId="21768118" w14:textId="77777777" w:rsidR="00C517C6" w:rsidRDefault="00C517C6" w:rsidP="00552215">
      <w:pPr>
        <w:ind w:left="-475" w:right="-187"/>
        <w:jc w:val="both"/>
        <w:rPr>
          <w:rFonts w:ascii="Georgia" w:hAnsi="Georgia"/>
          <w:sz w:val="22"/>
          <w:szCs w:val="22"/>
        </w:rPr>
      </w:pPr>
    </w:p>
    <w:p w14:paraId="6C068D38" w14:textId="5032BD7F" w:rsidR="00C517C6" w:rsidRPr="00C517C6" w:rsidRDefault="00000000" w:rsidP="00C517C6">
      <w:pPr>
        <w:ind w:left="-475" w:right="-187"/>
        <w:jc w:val="both"/>
        <w:rPr>
          <w:rFonts w:ascii="Georgia" w:hAnsi="Georgia"/>
          <w:sz w:val="22"/>
          <w:szCs w:val="22"/>
        </w:rPr>
      </w:pPr>
      <w:r w:rsidRPr="00C517C6">
        <w:rPr>
          <w:rFonts w:ascii="Georgia" w:hAnsi="Georgia"/>
          <w:sz w:val="22"/>
          <w:szCs w:val="22"/>
        </w:rPr>
        <w:t>Real</w:t>
      </w:r>
      <w:r w:rsidR="00CC2AB8">
        <w:rPr>
          <w:rFonts w:ascii="Georgia" w:hAnsi="Georgia"/>
          <w:sz w:val="22"/>
          <w:szCs w:val="22"/>
        </w:rPr>
        <w:t>-</w:t>
      </w:r>
      <w:r w:rsidRPr="00C517C6">
        <w:rPr>
          <w:rFonts w:ascii="Georgia" w:hAnsi="Georgia"/>
          <w:sz w:val="22"/>
          <w:szCs w:val="22"/>
        </w:rPr>
        <w:t>estate development carries considerable financial risks. In fact, one in 10 multifamily projects never breaks ground. Because of the risks involved, many real</w:t>
      </w:r>
      <w:r w:rsidR="00BB61B3">
        <w:rPr>
          <w:rFonts w:ascii="Georgia" w:hAnsi="Georgia"/>
          <w:sz w:val="22"/>
          <w:szCs w:val="22"/>
        </w:rPr>
        <w:t>-</w:t>
      </w:r>
      <w:r w:rsidRPr="00C517C6">
        <w:rPr>
          <w:rFonts w:ascii="Georgia" w:hAnsi="Georgia"/>
          <w:sz w:val="22"/>
          <w:szCs w:val="22"/>
        </w:rPr>
        <w:t>estate partnerships use “carried interest” to encourage innovation and entrepreneurship.</w:t>
      </w:r>
      <w:r w:rsidR="00BB61B3">
        <w:rPr>
          <w:rFonts w:ascii="Georgia" w:hAnsi="Georgia"/>
          <w:sz w:val="22"/>
          <w:szCs w:val="22"/>
        </w:rPr>
        <w:t xml:space="preserve"> </w:t>
      </w:r>
    </w:p>
    <w:p w14:paraId="066AA4E3" w14:textId="77777777" w:rsidR="00C517C6" w:rsidRDefault="00C517C6" w:rsidP="00C517C6">
      <w:pPr>
        <w:ind w:left="-475" w:right="-187"/>
        <w:jc w:val="both"/>
        <w:rPr>
          <w:rFonts w:ascii="Georgia" w:hAnsi="Georgia"/>
          <w:sz w:val="22"/>
          <w:szCs w:val="22"/>
        </w:rPr>
      </w:pPr>
    </w:p>
    <w:p w14:paraId="5264989A" w14:textId="459CA38D" w:rsidR="00C517C6" w:rsidRPr="00C517C6" w:rsidRDefault="00000000" w:rsidP="00C517C6">
      <w:pPr>
        <w:ind w:left="-475" w:right="-187"/>
        <w:jc w:val="both"/>
        <w:rPr>
          <w:rFonts w:ascii="Georgia" w:hAnsi="Georgia"/>
          <w:sz w:val="22"/>
          <w:szCs w:val="22"/>
        </w:rPr>
      </w:pPr>
      <w:r w:rsidRPr="00C517C6">
        <w:rPr>
          <w:rFonts w:ascii="Georgia" w:hAnsi="Georgia"/>
          <w:sz w:val="22"/>
          <w:szCs w:val="22"/>
        </w:rPr>
        <w:t>Also called a “promote,” carried interest has been a fundamental part of real</w:t>
      </w:r>
      <w:r w:rsidR="00CC2AB8">
        <w:rPr>
          <w:rFonts w:ascii="Georgia" w:hAnsi="Georgia"/>
          <w:sz w:val="22"/>
          <w:szCs w:val="22"/>
        </w:rPr>
        <w:t>-</w:t>
      </w:r>
      <w:r w:rsidRPr="00C517C6">
        <w:rPr>
          <w:rFonts w:ascii="Georgia" w:hAnsi="Georgia"/>
          <w:sz w:val="22"/>
          <w:szCs w:val="22"/>
        </w:rPr>
        <w:t>estate investment partnerships for decades. Managing partners receive a carried interest, or a share of profits once an asset is sold, in recognition of both the value they bring to the venture and the risks they take. In addition to their management expertise, managing partners often make initial capital contributions to the venture and assume responsibility for recourse debt, litigation risks and cost overruns, among other risks.</w:t>
      </w:r>
    </w:p>
    <w:p w14:paraId="194C0102" w14:textId="77777777" w:rsidR="00C517C6" w:rsidRDefault="00C517C6" w:rsidP="00C517C6">
      <w:pPr>
        <w:ind w:left="-475" w:right="-187"/>
        <w:jc w:val="both"/>
        <w:rPr>
          <w:rFonts w:ascii="Georgia" w:hAnsi="Georgia"/>
          <w:sz w:val="22"/>
          <w:szCs w:val="22"/>
        </w:rPr>
      </w:pPr>
    </w:p>
    <w:p w14:paraId="45310BD8" w14:textId="6D15E94C" w:rsidR="00C517C6" w:rsidRDefault="00000000" w:rsidP="00C517C6">
      <w:pPr>
        <w:ind w:left="-475" w:right="-187"/>
        <w:jc w:val="both"/>
        <w:rPr>
          <w:rFonts w:ascii="Georgia" w:hAnsi="Georgia"/>
          <w:sz w:val="22"/>
          <w:szCs w:val="22"/>
        </w:rPr>
      </w:pPr>
      <w:r w:rsidRPr="00C517C6">
        <w:rPr>
          <w:rFonts w:ascii="Georgia" w:hAnsi="Georgia"/>
          <w:sz w:val="22"/>
          <w:szCs w:val="22"/>
        </w:rPr>
        <w:t xml:space="preserve">A higher tax rate on </w:t>
      </w:r>
      <w:r w:rsidR="000B003A">
        <w:rPr>
          <w:rFonts w:ascii="Georgia" w:hAnsi="Georgia"/>
          <w:sz w:val="22"/>
          <w:szCs w:val="22"/>
        </w:rPr>
        <w:t>carried interest</w:t>
      </w:r>
      <w:r w:rsidRPr="00C517C6">
        <w:rPr>
          <w:rFonts w:ascii="Georgia" w:hAnsi="Georgia"/>
          <w:sz w:val="22"/>
          <w:szCs w:val="22"/>
        </w:rPr>
        <w:t xml:space="preserve"> will discourage real</w:t>
      </w:r>
      <w:r w:rsidR="00CC2AB8">
        <w:rPr>
          <w:rFonts w:ascii="Georgia" w:hAnsi="Georgia"/>
          <w:sz w:val="22"/>
          <w:szCs w:val="22"/>
        </w:rPr>
        <w:t>-</w:t>
      </w:r>
      <w:r w:rsidRPr="00C517C6">
        <w:rPr>
          <w:rFonts w:ascii="Georgia" w:hAnsi="Georgia"/>
          <w:sz w:val="22"/>
          <w:szCs w:val="22"/>
        </w:rPr>
        <w:t xml:space="preserve">estate partnerships from investing in new construction at a time when demand for apartments continues to grow and chronic underbuilding has limited new housing supply. In fact, </w:t>
      </w:r>
      <w:r>
        <w:rPr>
          <w:rFonts w:ascii="Georgia" w:hAnsi="Georgia"/>
          <w:sz w:val="22"/>
          <w:szCs w:val="22"/>
        </w:rPr>
        <w:t xml:space="preserve">as noted above, </w:t>
      </w:r>
      <w:r w:rsidRPr="00C517C6">
        <w:rPr>
          <w:rFonts w:ascii="Georgia" w:hAnsi="Georgia"/>
          <w:sz w:val="22"/>
          <w:szCs w:val="22"/>
        </w:rPr>
        <w:t>research commissioned by NMHC/NAA shows that the nation will need to build 4.3 million new apartment homes by 2035.</w:t>
      </w:r>
    </w:p>
    <w:p w14:paraId="67A58B0A" w14:textId="77777777" w:rsidR="001C662B" w:rsidRDefault="001C662B" w:rsidP="00C517C6">
      <w:pPr>
        <w:ind w:left="-475" w:right="-187"/>
        <w:jc w:val="both"/>
        <w:rPr>
          <w:rFonts w:ascii="Georgia" w:hAnsi="Georgia"/>
          <w:sz w:val="22"/>
          <w:szCs w:val="22"/>
        </w:rPr>
      </w:pPr>
    </w:p>
    <w:p w14:paraId="0025AA8D" w14:textId="1A90A33B" w:rsidR="001C662B" w:rsidRPr="009D12BD" w:rsidRDefault="00000000" w:rsidP="00C517C6">
      <w:pPr>
        <w:ind w:left="-475" w:right="-187"/>
        <w:jc w:val="both"/>
        <w:rPr>
          <w:rFonts w:ascii="Georgia" w:hAnsi="Georgia"/>
          <w:b/>
          <w:bCs/>
          <w:i/>
          <w:iCs/>
          <w:sz w:val="22"/>
          <w:szCs w:val="22"/>
          <w:u w:val="single"/>
        </w:rPr>
      </w:pPr>
      <w:r w:rsidRPr="009D12BD">
        <w:rPr>
          <w:rFonts w:ascii="Georgia" w:hAnsi="Georgia"/>
          <w:b/>
          <w:bCs/>
          <w:i/>
          <w:iCs/>
          <w:sz w:val="22"/>
          <w:szCs w:val="22"/>
          <w:u w:val="single"/>
        </w:rPr>
        <w:t>Tax Unrealized Capital Gains at Death</w:t>
      </w:r>
    </w:p>
    <w:p w14:paraId="6F11EE94" w14:textId="77777777" w:rsidR="006F6FD1" w:rsidRDefault="006F6FD1" w:rsidP="00C517C6">
      <w:pPr>
        <w:ind w:left="-475" w:right="-187"/>
        <w:jc w:val="both"/>
        <w:rPr>
          <w:rFonts w:ascii="Georgia" w:hAnsi="Georgia"/>
          <w:i/>
          <w:iCs/>
          <w:sz w:val="22"/>
          <w:szCs w:val="22"/>
        </w:rPr>
      </w:pPr>
    </w:p>
    <w:p w14:paraId="191DB8C5" w14:textId="60CDE225" w:rsidR="006F6FD1" w:rsidRPr="006F6FD1" w:rsidRDefault="00000000" w:rsidP="006F6FD1">
      <w:pPr>
        <w:ind w:left="-475" w:right="-187"/>
        <w:jc w:val="both"/>
        <w:rPr>
          <w:rFonts w:ascii="Georgia" w:hAnsi="Georgia"/>
          <w:sz w:val="22"/>
          <w:szCs w:val="22"/>
        </w:rPr>
      </w:pPr>
      <w:r w:rsidRPr="006F6FD1">
        <w:rPr>
          <w:rFonts w:ascii="Georgia" w:hAnsi="Georgia"/>
          <w:sz w:val="22"/>
          <w:szCs w:val="22"/>
        </w:rPr>
        <w:t xml:space="preserve">Given that many apartment firms are small businesses, often family owned, the </w:t>
      </w:r>
      <w:r w:rsidR="00CC2AB8">
        <w:rPr>
          <w:rFonts w:ascii="Georgia" w:hAnsi="Georgia"/>
          <w:sz w:val="22"/>
          <w:szCs w:val="22"/>
        </w:rPr>
        <w:t xml:space="preserve">continuity of their real-estate operations in the hands </w:t>
      </w:r>
      <w:r w:rsidRPr="006F6FD1">
        <w:rPr>
          <w:rFonts w:ascii="Georgia" w:hAnsi="Georgia"/>
          <w:sz w:val="22"/>
          <w:szCs w:val="22"/>
        </w:rPr>
        <w:t xml:space="preserve">of assets to heirs is a major consideration for company principals. While the estate tax may apply to </w:t>
      </w:r>
      <w:r w:rsidR="00CC2AB8">
        <w:rPr>
          <w:rFonts w:ascii="Georgia" w:hAnsi="Georgia"/>
          <w:sz w:val="22"/>
          <w:szCs w:val="22"/>
        </w:rPr>
        <w:t xml:space="preserve">a </w:t>
      </w:r>
      <w:r w:rsidRPr="006F6FD1">
        <w:rPr>
          <w:rFonts w:ascii="Georgia" w:hAnsi="Georgia"/>
          <w:sz w:val="22"/>
          <w:szCs w:val="22"/>
        </w:rPr>
        <w:t xml:space="preserve">decedent if </w:t>
      </w:r>
      <w:r w:rsidR="00CC2AB8">
        <w:rPr>
          <w:rFonts w:ascii="Georgia" w:hAnsi="Georgia"/>
          <w:sz w:val="22"/>
          <w:szCs w:val="22"/>
        </w:rPr>
        <w:t xml:space="preserve">the estate value exceeds the </w:t>
      </w:r>
      <w:r w:rsidRPr="006F6FD1">
        <w:rPr>
          <w:rFonts w:ascii="Georgia" w:hAnsi="Georgia"/>
          <w:sz w:val="22"/>
          <w:szCs w:val="22"/>
        </w:rPr>
        <w:t xml:space="preserve">exemption amount, current law appropriately enables </w:t>
      </w:r>
      <w:r w:rsidR="00CC2AB8">
        <w:rPr>
          <w:rFonts w:ascii="Georgia" w:hAnsi="Georgia"/>
          <w:sz w:val="22"/>
          <w:szCs w:val="22"/>
        </w:rPr>
        <w:t xml:space="preserve">the heirs to receive </w:t>
      </w:r>
      <w:r w:rsidRPr="006F6FD1">
        <w:rPr>
          <w:rFonts w:ascii="Georgia" w:hAnsi="Georgia"/>
          <w:sz w:val="22"/>
          <w:szCs w:val="22"/>
        </w:rPr>
        <w:t xml:space="preserve">property </w:t>
      </w:r>
      <w:r w:rsidR="00CC2AB8">
        <w:rPr>
          <w:rFonts w:ascii="Georgia" w:hAnsi="Georgia"/>
          <w:sz w:val="22"/>
          <w:szCs w:val="22"/>
        </w:rPr>
        <w:t xml:space="preserve">with a </w:t>
      </w:r>
      <w:r w:rsidRPr="006F6FD1">
        <w:rPr>
          <w:rFonts w:ascii="Georgia" w:hAnsi="Georgia"/>
          <w:sz w:val="22"/>
          <w:szCs w:val="22"/>
        </w:rPr>
        <w:t xml:space="preserve">basis </w:t>
      </w:r>
      <w:r w:rsidR="00CC2AB8">
        <w:rPr>
          <w:rFonts w:ascii="Georgia" w:hAnsi="Georgia"/>
          <w:sz w:val="22"/>
          <w:szCs w:val="22"/>
        </w:rPr>
        <w:t xml:space="preserve">stepped up </w:t>
      </w:r>
      <w:r w:rsidRPr="006F6FD1">
        <w:rPr>
          <w:rFonts w:ascii="Georgia" w:hAnsi="Georgia"/>
          <w:sz w:val="22"/>
          <w:szCs w:val="22"/>
        </w:rPr>
        <w:t xml:space="preserve">to fair market value at the time of </w:t>
      </w:r>
      <w:r w:rsidR="00CC2AB8">
        <w:rPr>
          <w:rFonts w:ascii="Georgia" w:hAnsi="Georgia"/>
          <w:sz w:val="22"/>
          <w:szCs w:val="22"/>
        </w:rPr>
        <w:t>the decedent’s death</w:t>
      </w:r>
      <w:r w:rsidRPr="006F6FD1">
        <w:rPr>
          <w:rFonts w:ascii="Georgia" w:hAnsi="Georgia"/>
          <w:sz w:val="22"/>
          <w:szCs w:val="22"/>
        </w:rPr>
        <w:t xml:space="preserve">. This is particularly important for the apartment industry because many industry executives’ estates include significant amounts of depreciable real property.  </w:t>
      </w:r>
    </w:p>
    <w:p w14:paraId="24461ED5" w14:textId="77777777" w:rsidR="006F6FD1" w:rsidRPr="006F6FD1" w:rsidRDefault="006F6FD1" w:rsidP="006F6FD1">
      <w:pPr>
        <w:ind w:left="-475" w:right="-187"/>
        <w:jc w:val="both"/>
        <w:rPr>
          <w:rFonts w:ascii="Georgia" w:hAnsi="Georgia"/>
          <w:sz w:val="22"/>
          <w:szCs w:val="22"/>
        </w:rPr>
      </w:pPr>
    </w:p>
    <w:p w14:paraId="31198CE0" w14:textId="669EE4C3" w:rsidR="006F6FD1" w:rsidRPr="006F6FD1" w:rsidRDefault="00000000" w:rsidP="006F6FD1">
      <w:pPr>
        <w:ind w:left="-475" w:right="-187"/>
        <w:jc w:val="both"/>
        <w:rPr>
          <w:rFonts w:ascii="Georgia" w:hAnsi="Georgia"/>
          <w:sz w:val="22"/>
          <w:szCs w:val="22"/>
        </w:rPr>
      </w:pPr>
      <w:bookmarkStart w:id="6" w:name="_Hlk167039703"/>
      <w:r w:rsidRPr="006F6FD1">
        <w:rPr>
          <w:rFonts w:ascii="Georgia" w:hAnsi="Georgia"/>
          <w:sz w:val="22"/>
          <w:szCs w:val="22"/>
        </w:rPr>
        <w:lastRenderedPageBreak/>
        <w:t>To illustrate how present tax law works, consider the following example: A</w:t>
      </w:r>
      <w:r w:rsidR="008631E3">
        <w:rPr>
          <w:rFonts w:ascii="Georgia" w:hAnsi="Georgia"/>
          <w:sz w:val="22"/>
          <w:szCs w:val="22"/>
        </w:rPr>
        <w:t>n individual</w:t>
      </w:r>
      <w:r w:rsidRPr="006F6FD1">
        <w:rPr>
          <w:rFonts w:ascii="Georgia" w:hAnsi="Georgia"/>
          <w:sz w:val="22"/>
          <w:szCs w:val="22"/>
        </w:rPr>
        <w:t xml:space="preserve"> purchased an apartment property in 1996 for $7.5 million before passing away in 2024 and transferring the property to an heir. At the time of transfer, the property is worth $22.5 million and, due to </w:t>
      </w:r>
      <w:r w:rsidR="00CC2AB8" w:rsidRPr="006F6FD1">
        <w:rPr>
          <w:rFonts w:ascii="Georgia" w:hAnsi="Georgia"/>
          <w:sz w:val="22"/>
          <w:szCs w:val="22"/>
        </w:rPr>
        <w:t xml:space="preserve">improvements of $3 million </w:t>
      </w:r>
      <w:r w:rsidR="00CC2AB8">
        <w:rPr>
          <w:rFonts w:ascii="Georgia" w:hAnsi="Georgia"/>
          <w:sz w:val="22"/>
          <w:szCs w:val="22"/>
        </w:rPr>
        <w:t xml:space="preserve">and </w:t>
      </w:r>
      <w:r w:rsidRPr="006F6FD1">
        <w:rPr>
          <w:rFonts w:ascii="Georgia" w:hAnsi="Georgia"/>
          <w:sz w:val="22"/>
          <w:szCs w:val="22"/>
        </w:rPr>
        <w:t>depreciation of $9 million, has a tax basis of $1.5 million. The property has an operating income of $1.575 million.</w:t>
      </w:r>
    </w:p>
    <w:p w14:paraId="3C3E2965" w14:textId="77777777" w:rsidR="006F6FD1" w:rsidRPr="006F6FD1" w:rsidRDefault="006F6FD1" w:rsidP="006F6FD1">
      <w:pPr>
        <w:ind w:left="-475" w:right="-187"/>
        <w:jc w:val="both"/>
        <w:rPr>
          <w:rFonts w:ascii="Georgia" w:hAnsi="Georgia"/>
          <w:sz w:val="22"/>
          <w:szCs w:val="22"/>
        </w:rPr>
      </w:pPr>
    </w:p>
    <w:p w14:paraId="37C6CE20" w14:textId="3E2C5040" w:rsidR="006F6FD1" w:rsidRPr="006F6FD1" w:rsidRDefault="00000000" w:rsidP="006F6FD1">
      <w:pPr>
        <w:ind w:left="-475" w:right="-187"/>
        <w:jc w:val="both"/>
        <w:rPr>
          <w:rFonts w:ascii="Georgia" w:hAnsi="Georgia"/>
          <w:sz w:val="22"/>
          <w:szCs w:val="22"/>
        </w:rPr>
      </w:pPr>
      <w:r w:rsidRPr="006F6FD1">
        <w:rPr>
          <w:rFonts w:ascii="Georgia" w:hAnsi="Georgia"/>
          <w:sz w:val="22"/>
          <w:szCs w:val="22"/>
        </w:rPr>
        <w:t xml:space="preserve">Currently, the $1.5 million in tax basis would be stepped-up to $22.5 million. Tax would only be imposed when the heir sells the asset and would be based on the difference between the </w:t>
      </w:r>
      <w:r w:rsidR="00CC2AB8">
        <w:rPr>
          <w:rFonts w:ascii="Georgia" w:hAnsi="Georgia"/>
          <w:sz w:val="22"/>
          <w:szCs w:val="22"/>
        </w:rPr>
        <w:t xml:space="preserve">depreciated </w:t>
      </w:r>
      <w:r w:rsidRPr="006F6FD1">
        <w:rPr>
          <w:rFonts w:ascii="Georgia" w:hAnsi="Georgia"/>
          <w:sz w:val="22"/>
          <w:szCs w:val="22"/>
        </w:rPr>
        <w:t>value of the property at time of sale and the $22.5 million in tax basis (</w:t>
      </w:r>
      <w:r w:rsidR="00CC2AB8">
        <w:rPr>
          <w:rFonts w:ascii="Georgia" w:hAnsi="Georgia"/>
          <w:sz w:val="22"/>
          <w:szCs w:val="22"/>
        </w:rPr>
        <w:t>including any adjustments such as improvements and depreciation</w:t>
      </w:r>
      <w:r w:rsidRPr="006F6FD1">
        <w:rPr>
          <w:rFonts w:ascii="Georgia" w:hAnsi="Georgia"/>
          <w:sz w:val="22"/>
          <w:szCs w:val="22"/>
        </w:rPr>
        <w:t xml:space="preserve">). </w:t>
      </w:r>
    </w:p>
    <w:p w14:paraId="60DE7192" w14:textId="77777777" w:rsidR="006F6FD1" w:rsidRPr="006F6FD1" w:rsidRDefault="006F6FD1" w:rsidP="006F6FD1">
      <w:pPr>
        <w:ind w:left="-475" w:right="-187"/>
        <w:jc w:val="both"/>
        <w:rPr>
          <w:rFonts w:ascii="Georgia" w:hAnsi="Georgia"/>
          <w:sz w:val="22"/>
          <w:szCs w:val="22"/>
        </w:rPr>
      </w:pPr>
    </w:p>
    <w:p w14:paraId="50B7E6F9" w14:textId="375422DB" w:rsidR="006F6FD1" w:rsidRPr="006F6FD1" w:rsidRDefault="00000000" w:rsidP="006F6FD1">
      <w:pPr>
        <w:ind w:left="-475" w:right="-187"/>
        <w:jc w:val="both"/>
        <w:rPr>
          <w:rFonts w:ascii="Georgia" w:hAnsi="Georgia"/>
          <w:sz w:val="22"/>
          <w:szCs w:val="22"/>
        </w:rPr>
      </w:pPr>
      <w:r w:rsidRPr="006F6FD1">
        <w:rPr>
          <w:rFonts w:ascii="Georgia" w:hAnsi="Georgia"/>
          <w:sz w:val="22"/>
          <w:szCs w:val="22"/>
        </w:rPr>
        <w:t xml:space="preserve">Unfortunately, the Biden Administration is proposing to impose tax on gain </w:t>
      </w:r>
      <w:r w:rsidR="00E77020">
        <w:rPr>
          <w:rFonts w:ascii="Georgia" w:hAnsi="Georgia"/>
          <w:sz w:val="22"/>
          <w:szCs w:val="22"/>
        </w:rPr>
        <w:t xml:space="preserve">when property is transferred by gift or at death, which effectively eliminates the step-up in basis under current law, subject to a $5 million individual exclusion amount. </w:t>
      </w:r>
      <w:r w:rsidRPr="006F6FD1">
        <w:rPr>
          <w:rFonts w:ascii="Georgia" w:hAnsi="Georgia"/>
          <w:sz w:val="22"/>
          <w:szCs w:val="22"/>
        </w:rPr>
        <w:t>In the example, above, a capital gain of $</w:t>
      </w:r>
      <w:r w:rsidR="00E77020">
        <w:rPr>
          <w:rFonts w:ascii="Georgia" w:hAnsi="Georgia"/>
          <w:sz w:val="22"/>
          <w:szCs w:val="22"/>
        </w:rPr>
        <w:t>16</w:t>
      </w:r>
      <w:r w:rsidRPr="006F6FD1">
        <w:rPr>
          <w:rFonts w:ascii="Georgia" w:hAnsi="Georgia"/>
          <w:sz w:val="22"/>
          <w:szCs w:val="22"/>
        </w:rPr>
        <w:t xml:space="preserve"> million would be realized when the property is passed to an heir. (This is calculated as</w:t>
      </w:r>
      <w:r w:rsidR="00E77020">
        <w:rPr>
          <w:rFonts w:ascii="Georgia" w:hAnsi="Georgia"/>
          <w:sz w:val="22"/>
          <w:szCs w:val="22"/>
        </w:rPr>
        <w:t xml:space="preserve">: </w:t>
      </w:r>
      <w:r w:rsidRPr="006F6FD1">
        <w:rPr>
          <w:rFonts w:ascii="Georgia" w:hAnsi="Georgia"/>
          <w:sz w:val="22"/>
          <w:szCs w:val="22"/>
        </w:rPr>
        <w:t>$22.5 million in fair market value, less $1.5 million in basis, and less a $5 million exclusion.) The $</w:t>
      </w:r>
      <w:r w:rsidR="00E77020">
        <w:rPr>
          <w:rFonts w:ascii="Georgia" w:hAnsi="Georgia"/>
          <w:sz w:val="22"/>
          <w:szCs w:val="22"/>
        </w:rPr>
        <w:t>16</w:t>
      </w:r>
      <w:r w:rsidRPr="006F6FD1">
        <w:rPr>
          <w:rFonts w:ascii="Georgia" w:hAnsi="Georgia"/>
          <w:sz w:val="22"/>
          <w:szCs w:val="22"/>
        </w:rPr>
        <w:t xml:space="preserve"> million capital gain would </w:t>
      </w:r>
      <w:r w:rsidR="007127E9" w:rsidRPr="007127E9">
        <w:rPr>
          <w:rFonts w:ascii="Georgia" w:hAnsi="Georgia"/>
          <w:sz w:val="22"/>
          <w:szCs w:val="22"/>
        </w:rPr>
        <w:t>be subject to a 25</w:t>
      </w:r>
      <w:r w:rsidR="007127E9">
        <w:rPr>
          <w:rFonts w:ascii="Georgia" w:hAnsi="Georgia"/>
          <w:sz w:val="22"/>
          <w:szCs w:val="22"/>
        </w:rPr>
        <w:t xml:space="preserve"> percent</w:t>
      </w:r>
      <w:r w:rsidR="007127E9" w:rsidRPr="007127E9">
        <w:rPr>
          <w:rFonts w:ascii="Georgia" w:hAnsi="Georgia"/>
          <w:sz w:val="22"/>
          <w:szCs w:val="22"/>
        </w:rPr>
        <w:t xml:space="preserve"> tax on the depreciation recapture, capital gains tax on the remainder of the gain, and the NIIT on the overall gain (</w:t>
      </w:r>
      <w:proofErr w:type="gramStart"/>
      <w:r w:rsidR="007127E9" w:rsidRPr="007127E9">
        <w:rPr>
          <w:rFonts w:ascii="Georgia" w:hAnsi="Georgia"/>
          <w:sz w:val="22"/>
          <w:szCs w:val="22"/>
        </w:rPr>
        <w:t>taking into account</w:t>
      </w:r>
      <w:proofErr w:type="gramEnd"/>
      <w:r w:rsidR="007127E9" w:rsidRPr="007127E9">
        <w:rPr>
          <w:rFonts w:ascii="Georgia" w:hAnsi="Georgia"/>
          <w:sz w:val="22"/>
          <w:szCs w:val="22"/>
        </w:rPr>
        <w:t xml:space="preserve"> the $200,000/$250,000 threshold amount).</w:t>
      </w:r>
      <w:r w:rsidRPr="006F6FD1">
        <w:rPr>
          <w:rFonts w:ascii="Georgia" w:hAnsi="Georgia"/>
          <w:sz w:val="22"/>
          <w:szCs w:val="22"/>
        </w:rPr>
        <w:t xml:space="preserve"> This would far exceed the building’s annual operating income. Notably, if other Biden Administration proposals were </w:t>
      </w:r>
      <w:r w:rsidR="00776AE5">
        <w:rPr>
          <w:rFonts w:ascii="Georgia" w:hAnsi="Georgia"/>
          <w:sz w:val="22"/>
          <w:szCs w:val="22"/>
        </w:rPr>
        <w:t>also</w:t>
      </w:r>
      <w:r w:rsidRPr="006F6FD1">
        <w:rPr>
          <w:rFonts w:ascii="Georgia" w:hAnsi="Georgia"/>
          <w:sz w:val="22"/>
          <w:szCs w:val="22"/>
        </w:rPr>
        <w:t xml:space="preserve"> enacted, including those increasing capital gains tax rates, </w:t>
      </w:r>
      <w:proofErr w:type="gramStart"/>
      <w:r w:rsidRPr="006F6FD1">
        <w:rPr>
          <w:rFonts w:ascii="Georgia" w:hAnsi="Georgia"/>
          <w:sz w:val="22"/>
          <w:szCs w:val="22"/>
        </w:rPr>
        <w:t>imposing</w:t>
      </w:r>
      <w:proofErr w:type="gramEnd"/>
      <w:r w:rsidRPr="006F6FD1">
        <w:rPr>
          <w:rFonts w:ascii="Georgia" w:hAnsi="Georgia"/>
          <w:sz w:val="22"/>
          <w:szCs w:val="22"/>
        </w:rPr>
        <w:t xml:space="preserve"> and raising net investment income taxes on active capital gains, and taxing depreciation recapture at ordinary income tax rates, the tax on such a sale would be </w:t>
      </w:r>
      <w:r w:rsidR="00776AE5">
        <w:rPr>
          <w:rFonts w:ascii="Georgia" w:hAnsi="Georgia"/>
          <w:sz w:val="22"/>
          <w:szCs w:val="22"/>
        </w:rPr>
        <w:t>prohibitive</w:t>
      </w:r>
      <w:r w:rsidRPr="006F6FD1">
        <w:rPr>
          <w:rFonts w:ascii="Georgia" w:hAnsi="Georgia"/>
          <w:sz w:val="22"/>
          <w:szCs w:val="22"/>
        </w:rPr>
        <w:t>.</w:t>
      </w:r>
    </w:p>
    <w:p w14:paraId="3A24BEBE" w14:textId="77777777" w:rsidR="006F6FD1" w:rsidRPr="006F6FD1" w:rsidRDefault="006F6FD1" w:rsidP="006F6FD1">
      <w:pPr>
        <w:ind w:left="-475" w:right="-187"/>
        <w:jc w:val="both"/>
        <w:rPr>
          <w:rFonts w:ascii="Georgia" w:hAnsi="Georgia"/>
          <w:sz w:val="22"/>
          <w:szCs w:val="22"/>
        </w:rPr>
      </w:pPr>
    </w:p>
    <w:p w14:paraId="2EB64229" w14:textId="3FE7DAE9" w:rsidR="006F6FD1" w:rsidRPr="006F6FD1" w:rsidRDefault="00000000" w:rsidP="006F6FD1">
      <w:pPr>
        <w:ind w:left="-475" w:right="-187"/>
        <w:jc w:val="both"/>
        <w:rPr>
          <w:rFonts w:ascii="Georgia" w:hAnsi="Georgia"/>
          <w:sz w:val="22"/>
          <w:szCs w:val="22"/>
        </w:rPr>
      </w:pPr>
      <w:r w:rsidRPr="006F6FD1">
        <w:rPr>
          <w:rFonts w:ascii="Georgia" w:hAnsi="Georgia"/>
          <w:sz w:val="22"/>
          <w:szCs w:val="22"/>
        </w:rPr>
        <w:t>If enacted, this proposal would have extremely unfortunate consequences. Not only would death become a taxable event</w:t>
      </w:r>
      <w:r w:rsidR="00776AE5">
        <w:rPr>
          <w:rFonts w:ascii="Georgia" w:hAnsi="Georgia"/>
          <w:sz w:val="22"/>
          <w:szCs w:val="22"/>
        </w:rPr>
        <w:t xml:space="preserve"> with an exclusion amount </w:t>
      </w:r>
      <w:r w:rsidRPr="006F6FD1">
        <w:rPr>
          <w:rFonts w:ascii="Georgia" w:hAnsi="Georgia"/>
          <w:sz w:val="22"/>
          <w:szCs w:val="22"/>
        </w:rPr>
        <w:t>far below today’s estate tax exclusion of $</w:t>
      </w:r>
      <w:r w:rsidR="00776AE5">
        <w:rPr>
          <w:rFonts w:ascii="Georgia" w:hAnsi="Georgia"/>
          <w:sz w:val="22"/>
          <w:szCs w:val="22"/>
        </w:rPr>
        <w:t>13.61</w:t>
      </w:r>
      <w:r w:rsidRPr="006F6FD1">
        <w:rPr>
          <w:rFonts w:ascii="Georgia" w:hAnsi="Georgia"/>
          <w:sz w:val="22"/>
          <w:szCs w:val="22"/>
        </w:rPr>
        <w:t xml:space="preserve"> million </w:t>
      </w:r>
      <w:r w:rsidR="00776AE5">
        <w:rPr>
          <w:rFonts w:ascii="Georgia" w:hAnsi="Georgia"/>
          <w:sz w:val="22"/>
          <w:szCs w:val="22"/>
        </w:rPr>
        <w:t>per person</w:t>
      </w:r>
      <w:r w:rsidRPr="006F6FD1">
        <w:rPr>
          <w:rFonts w:ascii="Georgia" w:hAnsi="Georgia"/>
          <w:sz w:val="22"/>
          <w:szCs w:val="22"/>
        </w:rPr>
        <w:t>, but funds necessary to pay the tax could be deferred from beneficial uses</w:t>
      </w:r>
      <w:r w:rsidR="00776AE5">
        <w:rPr>
          <w:rFonts w:ascii="Georgia" w:hAnsi="Georgia"/>
          <w:sz w:val="22"/>
          <w:szCs w:val="22"/>
        </w:rPr>
        <w:t xml:space="preserve">, namely </w:t>
      </w:r>
      <w:proofErr w:type="gramStart"/>
      <w:r w:rsidR="00776AE5">
        <w:rPr>
          <w:rFonts w:ascii="Georgia" w:hAnsi="Georgia"/>
          <w:sz w:val="22"/>
          <w:szCs w:val="22"/>
        </w:rPr>
        <w:t>maintaining</w:t>
      </w:r>
      <w:proofErr w:type="gramEnd"/>
      <w:r w:rsidR="00F24D31">
        <w:rPr>
          <w:rFonts w:ascii="Georgia" w:hAnsi="Georgia"/>
          <w:sz w:val="22"/>
          <w:szCs w:val="22"/>
        </w:rPr>
        <w:t xml:space="preserve"> and</w:t>
      </w:r>
      <w:r w:rsidR="00776AE5">
        <w:rPr>
          <w:rFonts w:ascii="Georgia" w:hAnsi="Georgia"/>
          <w:sz w:val="22"/>
          <w:szCs w:val="22"/>
        </w:rPr>
        <w:t xml:space="preserve"> improving housing</w:t>
      </w:r>
      <w:r w:rsidRPr="006F6FD1">
        <w:rPr>
          <w:rFonts w:ascii="Georgia" w:hAnsi="Georgia"/>
          <w:sz w:val="22"/>
          <w:szCs w:val="22"/>
        </w:rPr>
        <w:t xml:space="preserve">. </w:t>
      </w:r>
    </w:p>
    <w:p w14:paraId="2114EF25" w14:textId="77777777" w:rsidR="006F6FD1" w:rsidRPr="006F6FD1" w:rsidRDefault="006F6FD1" w:rsidP="006F6FD1">
      <w:pPr>
        <w:ind w:left="-475" w:right="-187"/>
        <w:jc w:val="both"/>
        <w:rPr>
          <w:rFonts w:ascii="Georgia" w:hAnsi="Georgia"/>
          <w:sz w:val="22"/>
          <w:szCs w:val="22"/>
        </w:rPr>
      </w:pPr>
    </w:p>
    <w:p w14:paraId="3B272686" w14:textId="47AFFCD5" w:rsidR="006F6FD1" w:rsidRPr="006F6FD1" w:rsidRDefault="00000000" w:rsidP="006F6FD1">
      <w:pPr>
        <w:ind w:left="-475" w:right="-187"/>
        <w:jc w:val="both"/>
        <w:rPr>
          <w:rFonts w:ascii="Georgia" w:hAnsi="Georgia"/>
          <w:sz w:val="22"/>
          <w:szCs w:val="22"/>
        </w:rPr>
      </w:pPr>
      <w:r>
        <w:rPr>
          <w:rFonts w:ascii="Georgia" w:hAnsi="Georgia"/>
          <w:sz w:val="22"/>
          <w:szCs w:val="22"/>
        </w:rPr>
        <w:t xml:space="preserve">While the Biden Budget offers ostensible relief for illiquid assets, these options only delay the inevitable. </w:t>
      </w:r>
      <w:r w:rsidRPr="006F6FD1">
        <w:rPr>
          <w:rFonts w:ascii="Georgia" w:hAnsi="Georgia"/>
          <w:sz w:val="22"/>
          <w:szCs w:val="22"/>
        </w:rPr>
        <w:t xml:space="preserve">Under one option, taxpayers would have 15 years to pay the tax. However, this would mean that a substantial portion of a property’s operating income would go just toward paying this tax, leaving less to improve and upgrade the property (in addition to paying current-year income and property taxes attributable to the asset). </w:t>
      </w:r>
      <w:r w:rsidR="006E61C9">
        <w:rPr>
          <w:rFonts w:ascii="Georgia" w:hAnsi="Georgia"/>
          <w:sz w:val="22"/>
          <w:szCs w:val="22"/>
        </w:rPr>
        <w:t xml:space="preserve">Significantly, </w:t>
      </w:r>
      <w:r>
        <w:rPr>
          <w:rFonts w:ascii="Georgia" w:hAnsi="Georgia"/>
          <w:sz w:val="22"/>
          <w:szCs w:val="22"/>
        </w:rPr>
        <w:t>the property is subject to state income and possibly estate taxes as well. Overall, t</w:t>
      </w:r>
      <w:r w:rsidRPr="006F6FD1">
        <w:rPr>
          <w:rFonts w:ascii="Georgia" w:hAnsi="Georgia"/>
          <w:sz w:val="22"/>
          <w:szCs w:val="22"/>
        </w:rPr>
        <w:t xml:space="preserve">his </w:t>
      </w:r>
      <w:r>
        <w:rPr>
          <w:rFonts w:ascii="Georgia" w:hAnsi="Georgia"/>
          <w:sz w:val="22"/>
          <w:szCs w:val="22"/>
        </w:rPr>
        <w:t xml:space="preserve">proposal is likely to have a significant </w:t>
      </w:r>
      <w:r w:rsidRPr="006F6FD1">
        <w:rPr>
          <w:rFonts w:ascii="Georgia" w:hAnsi="Georgia"/>
          <w:sz w:val="22"/>
          <w:szCs w:val="22"/>
        </w:rPr>
        <w:t>negative</w:t>
      </w:r>
      <w:r>
        <w:rPr>
          <w:rFonts w:ascii="Georgia" w:hAnsi="Georgia"/>
          <w:sz w:val="22"/>
          <w:szCs w:val="22"/>
        </w:rPr>
        <w:t xml:space="preserve"> effect on </w:t>
      </w:r>
      <w:r w:rsidRPr="006F6FD1">
        <w:rPr>
          <w:rFonts w:ascii="Georgia" w:hAnsi="Georgia"/>
          <w:sz w:val="22"/>
          <w:szCs w:val="22"/>
        </w:rPr>
        <w:t xml:space="preserve">the amount of affordable housing in the marketplace. </w:t>
      </w:r>
    </w:p>
    <w:bookmarkEnd w:id="6"/>
    <w:p w14:paraId="67FDB27A" w14:textId="77777777" w:rsidR="006F6FD1" w:rsidRPr="006F6FD1" w:rsidRDefault="006F6FD1" w:rsidP="006F6FD1">
      <w:pPr>
        <w:ind w:left="-475" w:right="-187"/>
        <w:jc w:val="both"/>
        <w:rPr>
          <w:rFonts w:ascii="Georgia" w:hAnsi="Georgia"/>
          <w:sz w:val="22"/>
          <w:szCs w:val="22"/>
        </w:rPr>
      </w:pPr>
    </w:p>
    <w:p w14:paraId="0AB4DD52" w14:textId="21638791" w:rsidR="006F6FD1" w:rsidRPr="006F6FD1" w:rsidRDefault="00000000" w:rsidP="006F6FD1">
      <w:pPr>
        <w:ind w:left="-475" w:right="-187"/>
        <w:jc w:val="both"/>
        <w:rPr>
          <w:rFonts w:ascii="Georgia" w:hAnsi="Georgia"/>
          <w:sz w:val="22"/>
          <w:szCs w:val="22"/>
        </w:rPr>
      </w:pPr>
      <w:bookmarkStart w:id="7" w:name="_Hlk167039872"/>
      <w:r w:rsidRPr="006F6FD1">
        <w:rPr>
          <w:rFonts w:ascii="Georgia" w:hAnsi="Georgia"/>
          <w:sz w:val="22"/>
          <w:szCs w:val="22"/>
        </w:rPr>
        <w:t xml:space="preserve">Under a second option, family-owned and operated businesses could defer tax until a property is sold. While tax may not be immediately due, the </w:t>
      </w:r>
      <w:r w:rsidR="00CA234F">
        <w:rPr>
          <w:rFonts w:ascii="Georgia" w:hAnsi="Georgia"/>
          <w:sz w:val="22"/>
          <w:szCs w:val="22"/>
        </w:rPr>
        <w:t xml:space="preserve">lingering </w:t>
      </w:r>
      <w:r w:rsidRPr="006F6FD1">
        <w:rPr>
          <w:rFonts w:ascii="Georgia" w:hAnsi="Georgia"/>
          <w:sz w:val="22"/>
          <w:szCs w:val="22"/>
        </w:rPr>
        <w:t xml:space="preserve">prospect of a significant tax bill upon sale (i.e., the deferred tax plus potential additional taxes </w:t>
      </w:r>
      <w:r w:rsidR="00CA234F">
        <w:rPr>
          <w:rFonts w:ascii="Georgia" w:hAnsi="Georgia"/>
          <w:sz w:val="22"/>
          <w:szCs w:val="22"/>
        </w:rPr>
        <w:t xml:space="preserve">on gains </w:t>
      </w:r>
      <w:r w:rsidRPr="006F6FD1">
        <w:rPr>
          <w:rFonts w:ascii="Georgia" w:hAnsi="Georgia"/>
          <w:sz w:val="22"/>
          <w:szCs w:val="22"/>
        </w:rPr>
        <w:t xml:space="preserve">incurred after </w:t>
      </w:r>
      <w:r w:rsidR="00CA234F">
        <w:rPr>
          <w:rFonts w:ascii="Georgia" w:hAnsi="Georgia"/>
          <w:sz w:val="22"/>
          <w:szCs w:val="22"/>
        </w:rPr>
        <w:t xml:space="preserve">the </w:t>
      </w:r>
      <w:r w:rsidRPr="006F6FD1">
        <w:rPr>
          <w:rFonts w:ascii="Georgia" w:hAnsi="Georgia"/>
          <w:sz w:val="22"/>
          <w:szCs w:val="22"/>
        </w:rPr>
        <w:t>transfer) could deter an heir from making a sale to invest in other assets</w:t>
      </w:r>
      <w:r w:rsidR="00595694">
        <w:rPr>
          <w:rFonts w:ascii="Georgia" w:hAnsi="Georgia"/>
          <w:sz w:val="22"/>
          <w:szCs w:val="22"/>
        </w:rPr>
        <w:t>, such as affordable housing,</w:t>
      </w:r>
      <w:r w:rsidRPr="006F6FD1">
        <w:rPr>
          <w:rFonts w:ascii="Georgia" w:hAnsi="Georgia"/>
          <w:sz w:val="22"/>
          <w:szCs w:val="22"/>
        </w:rPr>
        <w:t xml:space="preserve"> or multiple heirs who may wish to start new ventures. </w:t>
      </w:r>
    </w:p>
    <w:bookmarkEnd w:id="7"/>
    <w:p w14:paraId="7C9F9D8C" w14:textId="77777777" w:rsidR="006F6FD1" w:rsidRDefault="006F6FD1" w:rsidP="00C517C6">
      <w:pPr>
        <w:ind w:left="-475" w:right="-187"/>
        <w:jc w:val="both"/>
        <w:rPr>
          <w:rFonts w:ascii="Georgia" w:hAnsi="Georgia"/>
          <w:i/>
          <w:iCs/>
          <w:sz w:val="22"/>
          <w:szCs w:val="22"/>
        </w:rPr>
      </w:pPr>
    </w:p>
    <w:p w14:paraId="37E68A28" w14:textId="170EE0FA" w:rsidR="001C662B" w:rsidRPr="009D12BD" w:rsidRDefault="00000000" w:rsidP="00C517C6">
      <w:pPr>
        <w:ind w:left="-475" w:right="-187"/>
        <w:jc w:val="both"/>
        <w:rPr>
          <w:rFonts w:ascii="Georgia" w:hAnsi="Georgia"/>
          <w:b/>
          <w:bCs/>
          <w:i/>
          <w:iCs/>
          <w:sz w:val="22"/>
          <w:szCs w:val="22"/>
        </w:rPr>
      </w:pPr>
      <w:r w:rsidRPr="009D12BD">
        <w:rPr>
          <w:rFonts w:ascii="Georgia" w:eastAsia="Georgia" w:hAnsi="Georgia" w:cs="Georgia"/>
          <w:b/>
          <w:bCs/>
          <w:i/>
          <w:iCs/>
          <w:sz w:val="22"/>
          <w:szCs w:val="22"/>
        </w:rPr>
        <w:t>Require 100 Percent Recapture of Depreciation Deductions as Ordinary Income for Real Estate</w:t>
      </w:r>
    </w:p>
    <w:p w14:paraId="71780BCF" w14:textId="77777777" w:rsidR="009D12BD" w:rsidRDefault="009D12BD" w:rsidP="00C517C6">
      <w:pPr>
        <w:ind w:left="-475" w:right="-187"/>
        <w:jc w:val="both"/>
        <w:rPr>
          <w:rFonts w:ascii="Georgia" w:hAnsi="Georgia"/>
          <w:sz w:val="22"/>
          <w:szCs w:val="22"/>
        </w:rPr>
      </w:pPr>
    </w:p>
    <w:p w14:paraId="099D9EA5" w14:textId="1D588A7E" w:rsidR="001C662B" w:rsidRDefault="00000000" w:rsidP="00C517C6">
      <w:pPr>
        <w:ind w:left="-475" w:right="-187"/>
        <w:jc w:val="both"/>
        <w:rPr>
          <w:rFonts w:ascii="Georgia" w:hAnsi="Georgia"/>
          <w:sz w:val="22"/>
          <w:szCs w:val="22"/>
        </w:rPr>
      </w:pPr>
      <w:r>
        <w:rPr>
          <w:rFonts w:ascii="Georgia" w:hAnsi="Georgia"/>
          <w:sz w:val="22"/>
          <w:szCs w:val="22"/>
        </w:rPr>
        <w:t xml:space="preserve">Under current law, depreciation </w:t>
      </w:r>
      <w:r w:rsidR="00CA234F">
        <w:rPr>
          <w:rFonts w:ascii="Georgia" w:hAnsi="Georgia"/>
          <w:sz w:val="22"/>
          <w:szCs w:val="22"/>
        </w:rPr>
        <w:t xml:space="preserve">deductions are “recaptured” when real-estate assets are sold, with </w:t>
      </w:r>
      <w:r>
        <w:rPr>
          <w:rFonts w:ascii="Georgia" w:hAnsi="Georgia"/>
          <w:sz w:val="22"/>
          <w:szCs w:val="22"/>
        </w:rPr>
        <w:t xml:space="preserve">recapture </w:t>
      </w:r>
      <w:r w:rsidR="00CA234F">
        <w:rPr>
          <w:rFonts w:ascii="Georgia" w:hAnsi="Georgia"/>
          <w:sz w:val="22"/>
          <w:szCs w:val="22"/>
        </w:rPr>
        <w:t xml:space="preserve">amounts </w:t>
      </w:r>
      <w:r>
        <w:rPr>
          <w:rFonts w:ascii="Georgia" w:hAnsi="Georgia"/>
          <w:sz w:val="22"/>
          <w:szCs w:val="22"/>
        </w:rPr>
        <w:t>taxed at a 25</w:t>
      </w:r>
      <w:r w:rsidR="00CA234F">
        <w:rPr>
          <w:rFonts w:ascii="Georgia" w:hAnsi="Georgia"/>
          <w:sz w:val="22"/>
          <w:szCs w:val="22"/>
        </w:rPr>
        <w:t>-</w:t>
      </w:r>
      <w:r>
        <w:rPr>
          <w:rFonts w:ascii="Georgia" w:hAnsi="Georgia"/>
          <w:sz w:val="22"/>
          <w:szCs w:val="22"/>
        </w:rPr>
        <w:t xml:space="preserve">percent rate. </w:t>
      </w:r>
      <w:r w:rsidR="00CA234F">
        <w:rPr>
          <w:rFonts w:ascii="Georgia" w:hAnsi="Georgia"/>
          <w:sz w:val="22"/>
          <w:szCs w:val="22"/>
        </w:rPr>
        <w:t xml:space="preserve"> </w:t>
      </w:r>
      <w:r>
        <w:rPr>
          <w:rFonts w:ascii="Georgia" w:hAnsi="Georgia"/>
          <w:sz w:val="22"/>
          <w:szCs w:val="22"/>
        </w:rPr>
        <w:t xml:space="preserve">NMHC and NAA believe Congress should </w:t>
      </w:r>
      <w:r>
        <w:rPr>
          <w:rFonts w:ascii="Georgia" w:hAnsi="Georgia"/>
          <w:sz w:val="22"/>
          <w:szCs w:val="22"/>
        </w:rPr>
        <w:lastRenderedPageBreak/>
        <w:t>retain this rate as opposed to taxing depreciation recapture at ordinary income tax rates</w:t>
      </w:r>
      <w:r w:rsidR="00C47E52">
        <w:rPr>
          <w:rFonts w:ascii="Georgia" w:hAnsi="Georgia"/>
          <w:sz w:val="22"/>
          <w:szCs w:val="22"/>
        </w:rPr>
        <w:t xml:space="preserve"> as the Biden </w:t>
      </w:r>
      <w:r w:rsidR="00E103CD">
        <w:rPr>
          <w:rFonts w:ascii="Georgia" w:hAnsi="Georgia"/>
          <w:sz w:val="22"/>
          <w:szCs w:val="22"/>
        </w:rPr>
        <w:t>Administration</w:t>
      </w:r>
      <w:r w:rsidR="00C47E52">
        <w:rPr>
          <w:rFonts w:ascii="Georgia" w:hAnsi="Georgia"/>
          <w:sz w:val="22"/>
          <w:szCs w:val="22"/>
        </w:rPr>
        <w:t xml:space="preserve"> proposes for taxpayers earning </w:t>
      </w:r>
      <w:proofErr w:type="gramStart"/>
      <w:r w:rsidR="00C47E52">
        <w:rPr>
          <w:rFonts w:ascii="Georgia" w:hAnsi="Georgia"/>
          <w:sz w:val="22"/>
          <w:szCs w:val="22"/>
        </w:rPr>
        <w:t>in excess of</w:t>
      </w:r>
      <w:proofErr w:type="gramEnd"/>
      <w:r w:rsidR="00C47E52">
        <w:rPr>
          <w:rFonts w:ascii="Georgia" w:hAnsi="Georgia"/>
          <w:sz w:val="22"/>
          <w:szCs w:val="22"/>
        </w:rPr>
        <w:t xml:space="preserve"> $400,000</w:t>
      </w:r>
      <w:r>
        <w:rPr>
          <w:rFonts w:ascii="Georgia" w:hAnsi="Georgia"/>
          <w:sz w:val="22"/>
          <w:szCs w:val="22"/>
        </w:rPr>
        <w:t xml:space="preserve">. </w:t>
      </w:r>
    </w:p>
    <w:p w14:paraId="0A7DE096" w14:textId="77777777" w:rsidR="001C662B" w:rsidRDefault="001C662B" w:rsidP="00C517C6">
      <w:pPr>
        <w:ind w:left="-475" w:right="-187"/>
        <w:jc w:val="both"/>
        <w:rPr>
          <w:rFonts w:ascii="Georgia" w:hAnsi="Georgia"/>
          <w:sz w:val="22"/>
          <w:szCs w:val="22"/>
        </w:rPr>
      </w:pPr>
    </w:p>
    <w:p w14:paraId="5AF85F90" w14:textId="4B82218B" w:rsidR="001C662B" w:rsidRPr="00C517C6" w:rsidRDefault="00000000" w:rsidP="00C517C6">
      <w:pPr>
        <w:ind w:left="-475" w:right="-187"/>
        <w:jc w:val="both"/>
        <w:rPr>
          <w:rFonts w:ascii="Georgia" w:hAnsi="Georgia"/>
          <w:sz w:val="22"/>
          <w:szCs w:val="22"/>
        </w:rPr>
      </w:pPr>
      <w:r w:rsidRPr="001C662B">
        <w:rPr>
          <w:rFonts w:ascii="Georgia" w:hAnsi="Georgia"/>
          <w:sz w:val="22"/>
          <w:szCs w:val="22"/>
        </w:rPr>
        <w:t xml:space="preserve">After decades of operations, many multifamily owners have a very low tax basis in their properties. If they were to sell them, even under current law they would have </w:t>
      </w:r>
      <w:r w:rsidR="00CA234F">
        <w:rPr>
          <w:rFonts w:ascii="Georgia" w:hAnsi="Georgia"/>
          <w:sz w:val="22"/>
          <w:szCs w:val="22"/>
        </w:rPr>
        <w:t xml:space="preserve">significant </w:t>
      </w:r>
      <w:r w:rsidRPr="001C662B">
        <w:rPr>
          <w:rFonts w:ascii="Georgia" w:hAnsi="Georgia"/>
          <w:sz w:val="22"/>
          <w:szCs w:val="22"/>
        </w:rPr>
        <w:t xml:space="preserve">depreciation recapture </w:t>
      </w:r>
      <w:r w:rsidR="00CA234F">
        <w:rPr>
          <w:rFonts w:ascii="Georgia" w:hAnsi="Georgia"/>
          <w:sz w:val="22"/>
          <w:szCs w:val="22"/>
        </w:rPr>
        <w:t>tax liabilities</w:t>
      </w:r>
      <w:r w:rsidRPr="001C662B">
        <w:rPr>
          <w:rFonts w:ascii="Georgia" w:hAnsi="Georgia"/>
          <w:sz w:val="22"/>
          <w:szCs w:val="22"/>
        </w:rPr>
        <w:t xml:space="preserve">. To avoid </w:t>
      </w:r>
      <w:r w:rsidR="00CA234F">
        <w:rPr>
          <w:rFonts w:ascii="Georgia" w:hAnsi="Georgia"/>
          <w:sz w:val="22"/>
          <w:szCs w:val="22"/>
        </w:rPr>
        <w:t>such</w:t>
      </w:r>
      <w:r w:rsidRPr="001C662B">
        <w:rPr>
          <w:rFonts w:ascii="Georgia" w:hAnsi="Georgia"/>
          <w:sz w:val="22"/>
          <w:szCs w:val="22"/>
        </w:rPr>
        <w:t xml:space="preserve"> tax bill</w:t>
      </w:r>
      <w:r w:rsidR="00CA234F">
        <w:rPr>
          <w:rFonts w:ascii="Georgia" w:hAnsi="Georgia"/>
          <w:sz w:val="22"/>
          <w:szCs w:val="22"/>
        </w:rPr>
        <w:t>s</w:t>
      </w:r>
      <w:r w:rsidRPr="001C662B">
        <w:rPr>
          <w:rFonts w:ascii="Georgia" w:hAnsi="Georgia"/>
          <w:sz w:val="22"/>
          <w:szCs w:val="22"/>
        </w:rPr>
        <w:t xml:space="preserve"> many current owners not only avoid selling their properties, but they </w:t>
      </w:r>
      <w:r w:rsidR="00CA234F">
        <w:rPr>
          <w:rFonts w:ascii="Georgia" w:hAnsi="Georgia"/>
          <w:sz w:val="22"/>
          <w:szCs w:val="22"/>
        </w:rPr>
        <w:t xml:space="preserve">are </w:t>
      </w:r>
      <w:r w:rsidRPr="001C662B">
        <w:rPr>
          <w:rFonts w:ascii="Georgia" w:hAnsi="Georgia"/>
          <w:sz w:val="22"/>
          <w:szCs w:val="22"/>
        </w:rPr>
        <w:t xml:space="preserve">also reluctant to make additional capital investments in properties with little value. The result is deteriorating properties that are lost as safe, affordable housing. </w:t>
      </w:r>
      <w:r w:rsidR="00CA234F">
        <w:rPr>
          <w:rFonts w:ascii="Georgia" w:hAnsi="Georgia"/>
          <w:sz w:val="22"/>
          <w:szCs w:val="22"/>
        </w:rPr>
        <w:t>By i</w:t>
      </w:r>
      <w:r w:rsidRPr="001C662B">
        <w:rPr>
          <w:rFonts w:ascii="Georgia" w:hAnsi="Georgia"/>
          <w:sz w:val="22"/>
          <w:szCs w:val="22"/>
        </w:rPr>
        <w:t>ncreasing depreciation recapture taxes</w:t>
      </w:r>
      <w:r w:rsidR="00CA234F">
        <w:rPr>
          <w:rFonts w:ascii="Georgia" w:hAnsi="Georgia"/>
          <w:sz w:val="22"/>
          <w:szCs w:val="22"/>
        </w:rPr>
        <w:t>, the Biden Administration proposal</w:t>
      </w:r>
      <w:r w:rsidRPr="001C662B">
        <w:rPr>
          <w:rFonts w:ascii="Georgia" w:hAnsi="Georgia"/>
          <w:sz w:val="22"/>
          <w:szCs w:val="22"/>
        </w:rPr>
        <w:t xml:space="preserve"> would only make the problem worse.</w:t>
      </w:r>
    </w:p>
    <w:p w14:paraId="06314912" w14:textId="77777777" w:rsidR="00C517C6" w:rsidRPr="00452E91" w:rsidRDefault="00C517C6" w:rsidP="00552215">
      <w:pPr>
        <w:ind w:left="-475" w:right="-187"/>
        <w:jc w:val="both"/>
        <w:rPr>
          <w:rFonts w:ascii="Georgia" w:hAnsi="Georgia"/>
          <w:sz w:val="22"/>
          <w:szCs w:val="22"/>
        </w:rPr>
      </w:pPr>
    </w:p>
    <w:p w14:paraId="14410C70" w14:textId="77777777" w:rsidR="00000E1C" w:rsidRPr="00EB57C1" w:rsidRDefault="00000000" w:rsidP="00E83B70">
      <w:pPr>
        <w:ind w:left="-475" w:right="-187"/>
        <w:jc w:val="center"/>
        <w:rPr>
          <w:rFonts w:ascii="Georgia" w:hAnsi="Georgia"/>
          <w:b/>
          <w:bCs/>
          <w:sz w:val="22"/>
          <w:szCs w:val="22"/>
          <w:u w:val="single"/>
        </w:rPr>
      </w:pPr>
      <w:r w:rsidRPr="00EB57C1">
        <w:rPr>
          <w:rFonts w:ascii="Georgia" w:hAnsi="Georgia"/>
          <w:b/>
          <w:bCs/>
          <w:sz w:val="22"/>
          <w:szCs w:val="22"/>
          <w:u w:val="single"/>
        </w:rPr>
        <w:t>Conclusion</w:t>
      </w:r>
    </w:p>
    <w:p w14:paraId="1E86E79A" w14:textId="77777777" w:rsidR="00000E1C" w:rsidRPr="00EB57C1" w:rsidRDefault="00000E1C" w:rsidP="00E83B70">
      <w:pPr>
        <w:ind w:left="-475" w:right="-187"/>
        <w:jc w:val="both"/>
        <w:rPr>
          <w:rFonts w:ascii="Georgia" w:hAnsi="Georgia"/>
          <w:b/>
          <w:bCs/>
          <w:sz w:val="22"/>
          <w:szCs w:val="22"/>
          <w:u w:val="single"/>
        </w:rPr>
      </w:pPr>
    </w:p>
    <w:p w14:paraId="386FBA4A" w14:textId="4580A4FE" w:rsidR="00000E1C" w:rsidRPr="00EB57C1" w:rsidRDefault="00000000" w:rsidP="00E83B70">
      <w:pPr>
        <w:pStyle w:val="NormalWeb"/>
        <w:spacing w:before="0" w:beforeAutospacing="0" w:after="0" w:afterAutospacing="0"/>
        <w:ind w:left="-475" w:right="-187"/>
        <w:contextualSpacing/>
        <w:jc w:val="both"/>
        <w:rPr>
          <w:rFonts w:ascii="Georgia" w:hAnsi="Georgia"/>
          <w:sz w:val="22"/>
          <w:szCs w:val="22"/>
        </w:rPr>
      </w:pPr>
      <w:r w:rsidRPr="00EB57C1">
        <w:rPr>
          <w:rFonts w:ascii="Georgia" w:hAnsi="Georgia"/>
          <w:sz w:val="22"/>
          <w:szCs w:val="22"/>
        </w:rPr>
        <w:t xml:space="preserve">NMHC and NAA </w:t>
      </w:r>
      <w:r>
        <w:rPr>
          <w:rFonts w:ascii="Georgia" w:hAnsi="Georgia"/>
          <w:sz w:val="22"/>
          <w:szCs w:val="22"/>
        </w:rPr>
        <w:t xml:space="preserve">appreciate the opportunity to provide the Committee with our views on the state of the multifamily housing industry and the various proposals to improve it, as well as proposals that would be detrimental to solving the nation’s affordable-housing situation.  Here </w:t>
      </w:r>
      <w:r w:rsidR="00020E73" w:rsidRPr="00EB57C1">
        <w:rPr>
          <w:rFonts w:ascii="Georgia" w:hAnsi="Georgia"/>
          <w:sz w:val="22"/>
          <w:szCs w:val="22"/>
        </w:rPr>
        <w:t xml:space="preserve">is the bottom line: there is no silver bullet, but we think a multi-faceted approach to improving housing affordability and increasing housing supply is our best </w:t>
      </w:r>
      <w:r w:rsidR="00020E73">
        <w:rPr>
          <w:rFonts w:ascii="Georgia" w:hAnsi="Georgia"/>
          <w:sz w:val="22"/>
          <w:szCs w:val="22"/>
        </w:rPr>
        <w:t>course of action</w:t>
      </w:r>
      <w:r w:rsidR="00020E73" w:rsidRPr="00EB57C1">
        <w:rPr>
          <w:rFonts w:ascii="Georgia" w:hAnsi="Georgia"/>
          <w:sz w:val="22"/>
          <w:szCs w:val="22"/>
        </w:rPr>
        <w:t>. The health and stability of the rental</w:t>
      </w:r>
      <w:r w:rsidR="00020E73">
        <w:rPr>
          <w:rFonts w:ascii="Georgia" w:hAnsi="Georgia"/>
          <w:sz w:val="22"/>
          <w:szCs w:val="22"/>
        </w:rPr>
        <w:t>-</w:t>
      </w:r>
      <w:r w:rsidR="00020E73" w:rsidRPr="00EB57C1">
        <w:rPr>
          <w:rFonts w:ascii="Georgia" w:hAnsi="Georgia"/>
          <w:sz w:val="22"/>
          <w:szCs w:val="22"/>
        </w:rPr>
        <w:t xml:space="preserve">housing sector is paramount to that of our overall economy. And, importantly, the sufficient supply of quality housing is necessary in ensuring the continued economic prosperity and household stability for Americans nationwide </w:t>
      </w:r>
      <w:r w:rsidR="00020E73">
        <w:rPr>
          <w:rFonts w:ascii="Georgia" w:hAnsi="Georgia"/>
          <w:sz w:val="22"/>
          <w:szCs w:val="22"/>
        </w:rPr>
        <w:t>as well as</w:t>
      </w:r>
      <w:r w:rsidR="00020E73" w:rsidRPr="00EB57C1">
        <w:rPr>
          <w:rFonts w:ascii="Georgia" w:hAnsi="Georgia"/>
          <w:sz w:val="22"/>
          <w:szCs w:val="22"/>
        </w:rPr>
        <w:t xml:space="preserve"> providing household stability. Without it, we put both at risk. Solving this challenge should be mission critical. It certainly is for our industry. </w:t>
      </w:r>
    </w:p>
    <w:p w14:paraId="314A7D54" w14:textId="77777777" w:rsidR="00000E1C" w:rsidRPr="00EB57C1" w:rsidRDefault="00000E1C" w:rsidP="00E83B70">
      <w:pPr>
        <w:ind w:left="-475" w:right="-187"/>
        <w:contextualSpacing/>
        <w:jc w:val="both"/>
        <w:rPr>
          <w:rFonts w:ascii="Georgia" w:hAnsi="Georgia"/>
          <w:sz w:val="22"/>
          <w:szCs w:val="22"/>
        </w:rPr>
      </w:pPr>
    </w:p>
    <w:p w14:paraId="11B6CE32" w14:textId="366BF69F" w:rsidR="00000E1C" w:rsidRPr="00EB57C1" w:rsidRDefault="00000000" w:rsidP="00E83B70">
      <w:pPr>
        <w:pStyle w:val="NormalWeb"/>
        <w:spacing w:before="0" w:beforeAutospacing="0" w:after="0" w:afterAutospacing="0"/>
        <w:ind w:left="-475" w:right="-187"/>
        <w:jc w:val="both"/>
        <w:rPr>
          <w:rFonts w:ascii="Georgia" w:hAnsi="Georgia"/>
          <w:sz w:val="22"/>
          <w:szCs w:val="22"/>
        </w:rPr>
      </w:pPr>
      <w:r w:rsidRPr="00EB57C1">
        <w:rPr>
          <w:rFonts w:ascii="Georgia" w:hAnsi="Georgia"/>
          <w:sz w:val="22"/>
          <w:szCs w:val="22"/>
        </w:rPr>
        <w:t xml:space="preserve">On behalf of the multifamily industry and the nearly 40 million Americans we serve, we applaud the </w:t>
      </w:r>
      <w:r w:rsidR="008077D3" w:rsidRPr="00EB57C1">
        <w:rPr>
          <w:rFonts w:ascii="Georgia" w:hAnsi="Georgia"/>
          <w:sz w:val="22"/>
          <w:szCs w:val="22"/>
        </w:rPr>
        <w:t>House Ways and</w:t>
      </w:r>
      <w:r w:rsidR="00C83FBC" w:rsidRPr="00EB57C1">
        <w:rPr>
          <w:rFonts w:ascii="Georgia" w:hAnsi="Georgia"/>
          <w:sz w:val="22"/>
          <w:szCs w:val="22"/>
        </w:rPr>
        <w:t xml:space="preserve"> </w:t>
      </w:r>
      <w:r w:rsidR="008077D3" w:rsidRPr="00EB57C1">
        <w:rPr>
          <w:rFonts w:ascii="Georgia" w:hAnsi="Georgia"/>
          <w:sz w:val="22"/>
          <w:szCs w:val="22"/>
        </w:rPr>
        <w:t xml:space="preserve">Means </w:t>
      </w:r>
      <w:r w:rsidR="00C83FBC" w:rsidRPr="00EB57C1">
        <w:rPr>
          <w:rFonts w:ascii="Georgia" w:hAnsi="Georgia"/>
          <w:sz w:val="22"/>
          <w:szCs w:val="22"/>
        </w:rPr>
        <w:t xml:space="preserve">Committee </w:t>
      </w:r>
      <w:r w:rsidRPr="00EB57C1">
        <w:rPr>
          <w:rFonts w:ascii="Georgia" w:hAnsi="Georgia"/>
          <w:sz w:val="22"/>
          <w:szCs w:val="22"/>
        </w:rPr>
        <w:t xml:space="preserve">for </w:t>
      </w:r>
      <w:r w:rsidR="008077D3" w:rsidRPr="00EB57C1">
        <w:rPr>
          <w:rFonts w:ascii="Georgia" w:hAnsi="Georgia"/>
          <w:sz w:val="22"/>
          <w:szCs w:val="22"/>
        </w:rPr>
        <w:t xml:space="preserve">examining the efficacy of </w:t>
      </w:r>
      <w:r w:rsidR="008077D3" w:rsidRPr="009F7ED7">
        <w:rPr>
          <w:rFonts w:ascii="Georgia" w:hAnsi="Georgia"/>
          <w:i/>
          <w:iCs/>
          <w:sz w:val="22"/>
          <w:szCs w:val="22"/>
        </w:rPr>
        <w:t>TCJA</w:t>
      </w:r>
      <w:r w:rsidR="008077D3" w:rsidRPr="00EB57C1">
        <w:rPr>
          <w:rFonts w:ascii="Georgia" w:hAnsi="Georgia"/>
          <w:sz w:val="22"/>
          <w:szCs w:val="22"/>
        </w:rPr>
        <w:t xml:space="preserve"> </w:t>
      </w:r>
      <w:r>
        <w:rPr>
          <w:rFonts w:ascii="Georgia" w:hAnsi="Georgia"/>
          <w:sz w:val="22"/>
          <w:szCs w:val="22"/>
        </w:rPr>
        <w:t>and exploring options for improving upon that important legislation. We</w:t>
      </w:r>
      <w:r w:rsidR="008077D3" w:rsidRPr="00EB57C1">
        <w:rPr>
          <w:rFonts w:ascii="Georgia" w:hAnsi="Georgia"/>
          <w:sz w:val="22"/>
          <w:szCs w:val="22"/>
        </w:rPr>
        <w:t xml:space="preserve"> look forward to working with Congress to ensure tax policy promotes </w:t>
      </w:r>
      <w:r w:rsidRPr="00EB57C1">
        <w:rPr>
          <w:rFonts w:ascii="Georgia" w:hAnsi="Georgia"/>
          <w:sz w:val="22"/>
          <w:szCs w:val="22"/>
        </w:rPr>
        <w:t xml:space="preserve">solutions to </w:t>
      </w:r>
      <w:r w:rsidR="008077D3" w:rsidRPr="00EB57C1">
        <w:rPr>
          <w:rFonts w:ascii="Georgia" w:hAnsi="Georgia"/>
          <w:sz w:val="22"/>
          <w:szCs w:val="22"/>
        </w:rPr>
        <w:t xml:space="preserve">address </w:t>
      </w:r>
      <w:r w:rsidRPr="00EB57C1">
        <w:rPr>
          <w:rFonts w:ascii="Georgia" w:hAnsi="Georgia"/>
          <w:sz w:val="22"/>
          <w:szCs w:val="22"/>
        </w:rPr>
        <w:t>the nation’s most significant housing challenges.</w:t>
      </w:r>
    </w:p>
    <w:p w14:paraId="2D10FD00" w14:textId="77777777" w:rsidR="00000E1C" w:rsidRPr="00EB57C1" w:rsidRDefault="00000E1C" w:rsidP="00E83B70">
      <w:pPr>
        <w:pStyle w:val="NormalWeb"/>
        <w:spacing w:before="0" w:beforeAutospacing="0" w:after="0" w:afterAutospacing="0"/>
        <w:ind w:left="-475" w:right="-187"/>
        <w:jc w:val="both"/>
        <w:rPr>
          <w:rFonts w:ascii="Georgia" w:hAnsi="Georgia"/>
          <w:sz w:val="22"/>
          <w:szCs w:val="22"/>
        </w:rPr>
      </w:pPr>
    </w:p>
    <w:p w14:paraId="7FC6C29C" w14:textId="77777777" w:rsidR="007B128E" w:rsidRPr="00EB57C1" w:rsidRDefault="007B128E" w:rsidP="00E83B70">
      <w:pPr>
        <w:ind w:left="-475" w:right="-187"/>
        <w:rPr>
          <w:rFonts w:ascii="Georgia" w:hAnsi="Georgia"/>
          <w:sz w:val="22"/>
          <w:szCs w:val="22"/>
        </w:rPr>
      </w:pPr>
    </w:p>
    <w:sectPr w:rsidR="007B128E" w:rsidRPr="00EB57C1" w:rsidSect="001909A7">
      <w:footerReference w:type="default" r:id="rId13"/>
      <w:headerReference w:type="first" r:id="rId14"/>
      <w:type w:val="continuous"/>
      <w:pgSz w:w="12240" w:h="15840"/>
      <w:pgMar w:top="1800" w:right="1800" w:bottom="1714"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8CA2" w14:textId="77777777" w:rsidR="00C447CB" w:rsidRDefault="00C447CB">
      <w:r>
        <w:separator/>
      </w:r>
    </w:p>
  </w:endnote>
  <w:endnote w:type="continuationSeparator" w:id="0">
    <w:p w14:paraId="6911221A" w14:textId="77777777" w:rsidR="00C447CB" w:rsidRDefault="00C4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ITCbyBT-Book">
    <w:altName w:val="Calibri"/>
    <w:charset w:val="4D"/>
    <w:family w:val="auto"/>
    <w:pitch w:val="default"/>
    <w:sig w:usb0="00000003" w:usb1="00000000" w:usb2="00000000" w:usb3="00000000" w:csb0="00000001" w:csb1="00000000"/>
  </w:font>
  <w:font w:name="MinionPro-Regular">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ric-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D2C4" w14:textId="77777777" w:rsidR="0064347B" w:rsidRDefault="0064347B" w:rsidP="00086151">
    <w:pPr>
      <w:jc w:val="both"/>
      <w:rPr>
        <w:rFonts w:ascii="Times New Roman" w:hAnsi="Times New Roman"/>
        <w:sz w:val="22"/>
        <w:szCs w:val="16"/>
      </w:rPr>
    </w:pPr>
  </w:p>
  <w:p w14:paraId="758772B4" w14:textId="77777777" w:rsidR="002B56DD" w:rsidRDefault="002B56DD" w:rsidP="00264245">
    <w:pPr>
      <w:ind w:left="-450"/>
      <w:jc w:val="both"/>
      <w:rPr>
        <w:rFonts w:ascii="Georgia" w:hAnsi="Georgia"/>
        <w:sz w:val="22"/>
        <w:szCs w:val="16"/>
      </w:rPr>
    </w:pPr>
  </w:p>
  <w:p w14:paraId="68486ADC" w14:textId="77777777" w:rsidR="00086151" w:rsidRPr="0064347B" w:rsidRDefault="00086151" w:rsidP="00264245">
    <w:pPr>
      <w:ind w:left="-450"/>
      <w:jc w:val="both"/>
      <w:rPr>
        <w:rFonts w:ascii="Georgia" w:hAnsi="Georgia"/>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E83A" w14:textId="77777777" w:rsidR="00C447CB" w:rsidRDefault="00C447CB" w:rsidP="00C53C69">
      <w:r>
        <w:separator/>
      </w:r>
    </w:p>
  </w:footnote>
  <w:footnote w:type="continuationSeparator" w:id="0">
    <w:p w14:paraId="7AC43932" w14:textId="77777777" w:rsidR="00C447CB" w:rsidRDefault="00C447CB" w:rsidP="00C53C69">
      <w:r>
        <w:continuationSeparator/>
      </w:r>
    </w:p>
  </w:footnote>
  <w:footnote w:type="continuationNotice" w:id="1">
    <w:p w14:paraId="46A2A0AB" w14:textId="77777777" w:rsidR="00C447CB" w:rsidRDefault="00C447CB"/>
  </w:footnote>
  <w:footnote w:id="2">
    <w:p w14:paraId="6AC0103E" w14:textId="19E904CA" w:rsidR="00000E1C" w:rsidRPr="00B3346B" w:rsidRDefault="00000000" w:rsidP="00A70A7D">
      <w:pPr>
        <w:pStyle w:val="FootnoteText"/>
        <w:spacing w:after="120"/>
        <w:ind w:left="-634"/>
        <w:jc w:val="both"/>
        <w:rPr>
          <w:rFonts w:ascii="Georgia" w:hAnsi="Georgia"/>
          <w:sz w:val="16"/>
        </w:rPr>
      </w:pPr>
      <w:r w:rsidRPr="00B3346B">
        <w:rPr>
          <w:rStyle w:val="FootnoteReference"/>
          <w:rFonts w:ascii="Georgia" w:hAnsi="Georgia"/>
          <w:sz w:val="16"/>
        </w:rPr>
        <w:footnoteRef/>
      </w:r>
      <w:r w:rsidRPr="00B3346B">
        <w:rPr>
          <w:rFonts w:ascii="Georgia" w:hAnsi="Georgia"/>
          <w:sz w:val="16"/>
        </w:rPr>
        <w:t xml:space="preserve"> </w:t>
      </w:r>
      <w:r w:rsidR="008B2D54" w:rsidRPr="008B2D54">
        <w:rPr>
          <w:rFonts w:ascii="Georgia" w:hAnsi="Georgia"/>
          <w:sz w:val="16"/>
        </w:rPr>
        <w:t xml:space="preserve">For more than 26 years, the National Multifamily Housing Council (NMHC) and the National Apartment Association (NAA) have partnered to provide a single voice for America’s rental housing industry. Our combined memberships are engaged in all aspects of the rental industry, including ownership, development, </w:t>
      </w:r>
      <w:proofErr w:type="gramStart"/>
      <w:r w:rsidR="008B2D54" w:rsidRPr="008B2D54">
        <w:rPr>
          <w:rFonts w:ascii="Georgia" w:hAnsi="Georgia"/>
          <w:sz w:val="16"/>
        </w:rPr>
        <w:t>management</w:t>
      </w:r>
      <w:proofErr w:type="gramEnd"/>
      <w:r w:rsidR="008B2D54" w:rsidRPr="008B2D54">
        <w:rPr>
          <w:rFonts w:ascii="Georgia" w:hAnsi="Georgia"/>
          <w:sz w:val="16"/>
        </w:rPr>
        <w:t xml:space="preserve"> and finance—representing market-rate, affordable, workforce, senior, luxury and every component in between. NMHC is where rental housers and suppliers come together to help meet America’s housing needs by creating inclusive and resilient communities where people build their lives. As a federation of 14</w:t>
      </w:r>
      <w:r w:rsidR="008B2D54">
        <w:rPr>
          <w:rFonts w:ascii="Georgia" w:hAnsi="Georgia"/>
          <w:sz w:val="16"/>
        </w:rPr>
        <w:t>1</w:t>
      </w:r>
      <w:r w:rsidR="008B2D54" w:rsidRPr="008B2D54">
        <w:rPr>
          <w:rFonts w:ascii="Georgia" w:hAnsi="Georgia"/>
          <w:sz w:val="16"/>
        </w:rPr>
        <w:t xml:space="preserve"> state and local affiliates, NAA encompasses over 9</w:t>
      </w:r>
      <w:r w:rsidR="008B2D54">
        <w:rPr>
          <w:rFonts w:ascii="Georgia" w:hAnsi="Georgia"/>
          <w:sz w:val="16"/>
        </w:rPr>
        <w:t>6</w:t>
      </w:r>
      <w:r w:rsidR="008B2D54" w:rsidRPr="008B2D54">
        <w:rPr>
          <w:rFonts w:ascii="Georgia" w:hAnsi="Georgia"/>
          <w:sz w:val="16"/>
        </w:rPr>
        <w:t xml:space="preserve">,000 members representing more than </w:t>
      </w:r>
      <w:r w:rsidR="008B2D54">
        <w:rPr>
          <w:rFonts w:ascii="Georgia" w:hAnsi="Georgia"/>
          <w:sz w:val="16"/>
        </w:rPr>
        <w:t>12</w:t>
      </w:r>
      <w:r w:rsidR="008B2D54" w:rsidRPr="008B2D54">
        <w:rPr>
          <w:rFonts w:ascii="Georgia" w:hAnsi="Georgia"/>
          <w:sz w:val="16"/>
        </w:rPr>
        <w:t xml:space="preserve"> million apartment homes globally. One-third of all Americans rent their housing and 40.0 million of them live in an apartment home.</w:t>
      </w:r>
    </w:p>
  </w:footnote>
  <w:footnote w:id="3">
    <w:p w14:paraId="4B3F413F" w14:textId="6D3345FA" w:rsidR="00000E1C" w:rsidRPr="00B3346B" w:rsidRDefault="00000000" w:rsidP="00A70A7D">
      <w:pPr>
        <w:pStyle w:val="FootnoteText"/>
        <w:spacing w:after="120"/>
        <w:ind w:left="-634"/>
        <w:jc w:val="both"/>
        <w:rPr>
          <w:rFonts w:ascii="Georgia" w:hAnsi="Georgia"/>
          <w:sz w:val="16"/>
        </w:rPr>
      </w:pPr>
      <w:r w:rsidRPr="00B3346B">
        <w:rPr>
          <w:rStyle w:val="FootnoteReference"/>
          <w:rFonts w:ascii="Georgia" w:hAnsi="Georgia"/>
          <w:sz w:val="16"/>
        </w:rPr>
        <w:footnoteRef/>
      </w:r>
      <w:r w:rsidRPr="00B3346B">
        <w:rPr>
          <w:rFonts w:ascii="Georgia" w:hAnsi="Georgia"/>
          <w:sz w:val="16"/>
        </w:rPr>
        <w:t xml:space="preserve"> 2021 American Community Survey, 1-Year Estimates, U.S. Census Bureau, “Total Population in Occupied Housing Units by Tenure by Units in Structure</w:t>
      </w:r>
      <w:r w:rsidR="00034B7F">
        <w:rPr>
          <w:rFonts w:ascii="Georgia" w:hAnsi="Georgia"/>
          <w:sz w:val="16"/>
        </w:rPr>
        <w:t>.</w:t>
      </w:r>
      <w:r w:rsidRPr="00B3346B">
        <w:rPr>
          <w:rFonts w:ascii="Georgia" w:hAnsi="Georgia"/>
          <w:sz w:val="16"/>
        </w:rPr>
        <w:t>”</w:t>
      </w:r>
    </w:p>
  </w:footnote>
  <w:footnote w:id="4">
    <w:p w14:paraId="54B6E447" w14:textId="0D6CD89C" w:rsidR="00000E1C" w:rsidRDefault="00000000" w:rsidP="00A70A7D">
      <w:pPr>
        <w:pStyle w:val="FootnoteText"/>
        <w:spacing w:after="120"/>
        <w:ind w:left="-634"/>
        <w:jc w:val="both"/>
      </w:pPr>
      <w:r w:rsidRPr="00B3346B">
        <w:rPr>
          <w:rStyle w:val="FootnoteReference"/>
          <w:rFonts w:ascii="Georgia" w:hAnsi="Georgia"/>
          <w:sz w:val="16"/>
        </w:rPr>
        <w:footnoteRef/>
      </w:r>
      <w:r w:rsidRPr="00B3346B">
        <w:rPr>
          <w:rFonts w:ascii="Georgia" w:hAnsi="Georgia"/>
          <w:sz w:val="16"/>
        </w:rPr>
        <w:t xml:space="preserve"> Hoyt Advisory Services, National Apartment Association and National Multifamily Housing Council, “The Contribution of Multifamily Housing to the U.S. Economy</w:t>
      </w:r>
      <w:r w:rsidR="00034B7F">
        <w:rPr>
          <w:rFonts w:ascii="Georgia" w:hAnsi="Georgia"/>
          <w:sz w:val="16"/>
        </w:rPr>
        <w:t>,</w:t>
      </w:r>
      <w:r w:rsidRPr="00B3346B">
        <w:rPr>
          <w:rFonts w:ascii="Georgia" w:hAnsi="Georgia"/>
          <w:sz w:val="16"/>
        </w:rPr>
        <w:t xml:space="preserve">” </w:t>
      </w:r>
      <w:hyperlink r:id="rId1" w:history="1">
        <w:r w:rsidR="00E83B70" w:rsidRPr="009B3C25">
          <w:rPr>
            <w:rStyle w:val="Hyperlink"/>
            <w:rFonts w:ascii="Georgia" w:hAnsi="Georgia"/>
            <w:sz w:val="16"/>
          </w:rPr>
          <w:t>https://weareapartments.org/pdf/Economic_Impact.pdf</w:t>
        </w:r>
      </w:hyperlink>
      <w:r w:rsidR="00C0201E">
        <w:rPr>
          <w:rStyle w:val="Hyperlink"/>
          <w:rFonts w:ascii="Georgia" w:hAnsi="Georgia"/>
          <w:sz w:val="16"/>
        </w:rPr>
        <w:t>.</w:t>
      </w:r>
      <w:r w:rsidR="00E83B70">
        <w:rPr>
          <w:rFonts w:ascii="Georgia" w:hAnsi="Georgia"/>
          <w:sz w:val="16"/>
        </w:rPr>
        <w:t xml:space="preserve"> </w:t>
      </w:r>
    </w:p>
  </w:footnote>
  <w:footnote w:id="5">
    <w:p w14:paraId="1E0EE19D" w14:textId="63106A80" w:rsidR="005C53DB" w:rsidRPr="005C53DB" w:rsidRDefault="00000000" w:rsidP="00A70A7D">
      <w:pPr>
        <w:pStyle w:val="FootnoteText"/>
        <w:spacing w:after="120"/>
        <w:ind w:left="-634"/>
        <w:jc w:val="both"/>
        <w:rPr>
          <w:rFonts w:ascii="Georgia" w:hAnsi="Georgia"/>
          <w:sz w:val="16"/>
          <w:szCs w:val="16"/>
        </w:rPr>
      </w:pPr>
      <w:r w:rsidRPr="005C53DB">
        <w:rPr>
          <w:rStyle w:val="FootnoteReference"/>
          <w:rFonts w:ascii="Georgia" w:hAnsi="Georgia"/>
          <w:sz w:val="16"/>
          <w:szCs w:val="16"/>
        </w:rPr>
        <w:footnoteRef/>
      </w:r>
      <w:r w:rsidRPr="005C53DB">
        <w:rPr>
          <w:rFonts w:ascii="Georgia" w:hAnsi="Georgia"/>
          <w:sz w:val="16"/>
          <w:szCs w:val="16"/>
        </w:rPr>
        <w:t xml:space="preserve"> NMHC tabulations of 1985 American Housing Survey microdata, U.S. Census Bureau; 2021 American Housing Survey; U.S. Census Bureau.</w:t>
      </w:r>
    </w:p>
  </w:footnote>
  <w:footnote w:id="6">
    <w:p w14:paraId="0160A8E9" w14:textId="651A0CF0" w:rsidR="007D3418" w:rsidRPr="00A34C34" w:rsidRDefault="00000000" w:rsidP="00A70A7D">
      <w:pPr>
        <w:pStyle w:val="FootnoteText"/>
        <w:ind w:left="-634"/>
        <w:jc w:val="both"/>
        <w:rPr>
          <w:rFonts w:ascii="Georgia" w:hAnsi="Georgia"/>
          <w:sz w:val="16"/>
          <w:szCs w:val="16"/>
        </w:rPr>
      </w:pPr>
      <w:r w:rsidRPr="00A34C34">
        <w:rPr>
          <w:rStyle w:val="FootnoteReference"/>
          <w:rFonts w:ascii="Georgia" w:hAnsi="Georgia"/>
          <w:sz w:val="16"/>
          <w:szCs w:val="16"/>
        </w:rPr>
        <w:footnoteRef/>
      </w:r>
      <w:r w:rsidRPr="00A34C34">
        <w:rPr>
          <w:rFonts w:ascii="Georgia" w:hAnsi="Georgia"/>
          <w:sz w:val="16"/>
          <w:szCs w:val="16"/>
        </w:rPr>
        <w:t xml:space="preserve"> Rosenthal, Steven M. and Mucciolo, Livia, </w:t>
      </w:r>
      <w:r w:rsidRPr="00A34C34">
        <w:rPr>
          <w:rFonts w:ascii="Georgia" w:hAnsi="Georgia"/>
          <w:i/>
          <w:iCs/>
          <w:sz w:val="16"/>
          <w:szCs w:val="16"/>
        </w:rPr>
        <w:t>Who’s Left to Tax? Grappling with a Dwindling Shareholder Tax Base</w:t>
      </w:r>
      <w:r w:rsidRPr="00A34C34">
        <w:rPr>
          <w:rFonts w:ascii="Georgia" w:hAnsi="Georgia"/>
          <w:sz w:val="16"/>
          <w:szCs w:val="16"/>
        </w:rPr>
        <w:t>, Tax Notes Federal,</w:t>
      </w:r>
      <w:r w:rsidR="00A113D0" w:rsidRPr="00A34C34">
        <w:rPr>
          <w:rFonts w:ascii="Georgia" w:hAnsi="Georgia"/>
          <w:sz w:val="16"/>
          <w:szCs w:val="16"/>
        </w:rPr>
        <w:t xml:space="preserve"> Volume 183, April 1, 2024</w:t>
      </w:r>
      <w:r w:rsidR="001A7F43">
        <w:rPr>
          <w:rFonts w:ascii="Georgia" w:hAnsi="Georgia"/>
          <w:sz w:val="16"/>
          <w:szCs w:val="16"/>
        </w:rPr>
        <w:t xml:space="preserve">, </w:t>
      </w:r>
      <w:hyperlink r:id="rId2" w:history="1">
        <w:r w:rsidR="001A7F43" w:rsidRPr="006B7CED">
          <w:rPr>
            <w:rStyle w:val="Hyperlink"/>
            <w:rFonts w:ascii="Georgia" w:hAnsi="Georgia"/>
            <w:sz w:val="16"/>
            <w:szCs w:val="16"/>
          </w:rPr>
          <w:t>https://www.taxnotes.com/featured-analysis/whos-left-tax-grappling-dwindling-shareholder-tax-base/2024/03/29/7j9cr</w:t>
        </w:r>
      </w:hyperlink>
      <w:r w:rsidR="001A7F43">
        <w:rPr>
          <w:rFonts w:ascii="Georgia" w:hAnsi="Georgia"/>
          <w:sz w:val="16"/>
          <w:szCs w:val="16"/>
        </w:rPr>
        <w:t>.</w:t>
      </w:r>
    </w:p>
  </w:footnote>
  <w:footnote w:id="7">
    <w:p w14:paraId="743CA093" w14:textId="2F31DE0C" w:rsidR="00000E1C" w:rsidRPr="00A34C34" w:rsidRDefault="00000000" w:rsidP="00A34C34">
      <w:pPr>
        <w:pStyle w:val="FootnoteText"/>
        <w:spacing w:after="120"/>
        <w:ind w:left="-634"/>
        <w:rPr>
          <w:rFonts w:ascii="Georgia" w:hAnsi="Georgia"/>
          <w:sz w:val="16"/>
          <w:szCs w:val="16"/>
        </w:rPr>
      </w:pPr>
      <w:r w:rsidRPr="00A34C34">
        <w:rPr>
          <w:rStyle w:val="FootnoteReference"/>
          <w:rFonts w:ascii="Georgia" w:hAnsi="Georgia"/>
          <w:sz w:val="16"/>
          <w:szCs w:val="16"/>
        </w:rPr>
        <w:footnoteRef/>
      </w:r>
      <w:r w:rsidRPr="00A34C34">
        <w:rPr>
          <w:rFonts w:ascii="Georgia" w:hAnsi="Georgia"/>
          <w:sz w:val="16"/>
          <w:szCs w:val="16"/>
        </w:rPr>
        <w:t xml:space="preserve"> </w:t>
      </w:r>
      <w:hyperlink r:id="rId3" w:history="1">
        <w:r w:rsidR="00EB57C1" w:rsidRPr="00A34C34">
          <w:rPr>
            <w:rStyle w:val="Hyperlink"/>
            <w:rFonts w:ascii="Georgia" w:hAnsi="Georgia"/>
            <w:sz w:val="16"/>
            <w:szCs w:val="16"/>
          </w:rPr>
          <w:t>https://rentalhousingaction.org/wp-content/uploads/2023/11/ACTION-NATIONAL-NOV-2023.pdf</w:t>
        </w:r>
      </w:hyperlink>
      <w:r w:rsidR="00B2702A">
        <w:rPr>
          <w:rStyle w:val="Hyperlink"/>
          <w:rFonts w:ascii="Georgia" w:hAnsi="Georgia"/>
          <w:sz w:val="16"/>
          <w:szCs w:val="16"/>
        </w:rPr>
        <w:t>.</w:t>
      </w:r>
      <w:r w:rsidR="00EB57C1" w:rsidRPr="00A34C34">
        <w:rPr>
          <w:rFonts w:ascii="Georgia" w:hAnsi="Georgia"/>
          <w:sz w:val="16"/>
          <w:szCs w:val="16"/>
        </w:rPr>
        <w:t xml:space="preserve"> </w:t>
      </w:r>
    </w:p>
  </w:footnote>
  <w:footnote w:id="8">
    <w:p w14:paraId="54E90E81" w14:textId="66A0C312" w:rsidR="002D1A63" w:rsidRPr="00A34C34" w:rsidRDefault="00000000" w:rsidP="0082232C">
      <w:pPr>
        <w:pStyle w:val="FootnoteText"/>
        <w:spacing w:after="120"/>
        <w:ind w:left="-634"/>
        <w:rPr>
          <w:rFonts w:ascii="Georgia" w:hAnsi="Georgia"/>
          <w:sz w:val="16"/>
          <w:szCs w:val="16"/>
        </w:rPr>
      </w:pPr>
      <w:r w:rsidRPr="00A34C34">
        <w:rPr>
          <w:rStyle w:val="FootnoteReference"/>
          <w:rFonts w:ascii="Georgia" w:hAnsi="Georgia"/>
          <w:sz w:val="16"/>
          <w:szCs w:val="16"/>
        </w:rPr>
        <w:footnoteRef/>
      </w:r>
      <w:r w:rsidRPr="00A34C34">
        <w:rPr>
          <w:rFonts w:ascii="Georgia" w:hAnsi="Georgia"/>
          <w:sz w:val="16"/>
          <w:szCs w:val="16"/>
        </w:rPr>
        <w:t xml:space="preserve"> </w:t>
      </w:r>
      <w:hyperlink r:id="rId4" w:history="1">
        <w:r w:rsidRPr="00A34C34">
          <w:rPr>
            <w:rStyle w:val="Hyperlink"/>
            <w:rFonts w:ascii="Georgia" w:hAnsi="Georgia"/>
            <w:sz w:val="16"/>
            <w:szCs w:val="16"/>
          </w:rPr>
          <w:t>https://www.novoco.com/notes-from-novogradac/lihtc-pab-provisions-newly-reintroduced-ahcia-could-result-nearly-2-million-additional-affordable</w:t>
        </w:r>
      </w:hyperlink>
      <w:r w:rsidR="00B2702A">
        <w:rPr>
          <w:rStyle w:val="Hyperlink"/>
          <w:rFonts w:ascii="Georgia" w:hAnsi="Georgia"/>
          <w:sz w:val="16"/>
          <w:szCs w:val="16"/>
        </w:rPr>
        <w:t>.</w:t>
      </w:r>
    </w:p>
  </w:footnote>
  <w:footnote w:id="9">
    <w:p w14:paraId="4AE46D3C" w14:textId="7293CE13" w:rsidR="0082232C" w:rsidRPr="0082232C" w:rsidRDefault="00000000" w:rsidP="0082232C">
      <w:pPr>
        <w:pStyle w:val="FootnoteText"/>
        <w:spacing w:after="120"/>
        <w:ind w:left="-634"/>
        <w:rPr>
          <w:rFonts w:ascii="Georgia" w:hAnsi="Georgia"/>
          <w:sz w:val="16"/>
          <w:szCs w:val="16"/>
        </w:rPr>
      </w:pPr>
      <w:r w:rsidRPr="0082232C">
        <w:rPr>
          <w:rStyle w:val="FootnoteReference"/>
          <w:rFonts w:ascii="Georgia" w:hAnsi="Georgia"/>
          <w:sz w:val="16"/>
          <w:szCs w:val="16"/>
        </w:rPr>
        <w:footnoteRef/>
      </w:r>
      <w:r w:rsidRPr="0082232C">
        <w:rPr>
          <w:rFonts w:ascii="Georgia" w:hAnsi="Georgia"/>
          <w:sz w:val="16"/>
          <w:szCs w:val="16"/>
        </w:rPr>
        <w:t xml:space="preserve"> </w:t>
      </w:r>
      <w:hyperlink r:id="rId5" w:history="1">
        <w:r w:rsidRPr="0082232C">
          <w:rPr>
            <w:rStyle w:val="Hyperlink"/>
            <w:rFonts w:ascii="Georgia" w:hAnsi="Georgia"/>
            <w:sz w:val="16"/>
            <w:szCs w:val="16"/>
          </w:rPr>
          <w:t>https://www.novoco.com/periodicals/news/low-income-housing-tax-credits-news-briefs-march-2024</w:t>
        </w:r>
      </w:hyperlink>
      <w:r w:rsidR="00B2702A">
        <w:rPr>
          <w:rStyle w:val="Hyperlink"/>
          <w:rFonts w:ascii="Georgia" w:hAnsi="Georgia"/>
          <w:sz w:val="16"/>
          <w:szCs w:val="16"/>
        </w:rPr>
        <w:t>.</w:t>
      </w:r>
      <w:r w:rsidRPr="0082232C">
        <w:rPr>
          <w:rFonts w:ascii="Georgia" w:hAnsi="Georgia"/>
          <w:sz w:val="16"/>
          <w:szCs w:val="16"/>
        </w:rPr>
        <w:t xml:space="preserve"> </w:t>
      </w:r>
    </w:p>
  </w:footnote>
  <w:footnote w:id="10">
    <w:p w14:paraId="559C4589" w14:textId="5A0EA4EE" w:rsidR="006F7682" w:rsidRPr="00C96BFB" w:rsidRDefault="00000000" w:rsidP="006F7682">
      <w:pPr>
        <w:pStyle w:val="FootnoteText"/>
        <w:spacing w:after="120"/>
        <w:ind w:left="-634"/>
        <w:rPr>
          <w:rFonts w:ascii="Georgia" w:hAnsi="Georgia"/>
          <w:sz w:val="16"/>
          <w:szCs w:val="16"/>
        </w:rPr>
      </w:pPr>
      <w:r w:rsidRPr="00C96BFB">
        <w:rPr>
          <w:rStyle w:val="FootnoteReference"/>
          <w:rFonts w:ascii="Georgia" w:hAnsi="Georgia"/>
          <w:sz w:val="16"/>
          <w:szCs w:val="16"/>
        </w:rPr>
        <w:footnoteRef/>
      </w:r>
      <w:r w:rsidRPr="00C96BFB">
        <w:rPr>
          <w:rFonts w:ascii="Georgia" w:hAnsi="Georgia"/>
          <w:sz w:val="16"/>
          <w:szCs w:val="16"/>
        </w:rPr>
        <w:t xml:space="preserve"> </w:t>
      </w:r>
      <w:hyperlink r:id="rId6" w:history="1">
        <w:r w:rsidRPr="00C96BFB">
          <w:rPr>
            <w:rStyle w:val="Hyperlink"/>
            <w:rFonts w:ascii="Georgia" w:hAnsi="Georgia"/>
            <w:sz w:val="16"/>
            <w:szCs w:val="16"/>
          </w:rPr>
          <w:t>https://www.novoco.com/periodicals/articles/surge-in-pab-financed-affordable-housing-signals-need-to-expand-its-use</w:t>
        </w:r>
      </w:hyperlink>
      <w:r w:rsidR="00B2702A" w:rsidRPr="00C96BFB">
        <w:rPr>
          <w:rFonts w:ascii="Georgia" w:hAnsi="Georgia"/>
          <w:sz w:val="16"/>
          <w:szCs w:val="16"/>
        </w:rPr>
        <w:t>.</w:t>
      </w:r>
      <w:r w:rsidRPr="00C96BFB">
        <w:rPr>
          <w:rFonts w:ascii="Georgia" w:hAnsi="Georgia"/>
          <w:sz w:val="16"/>
          <w:szCs w:val="16"/>
        </w:rPr>
        <w:t xml:space="preserve"> </w:t>
      </w:r>
    </w:p>
  </w:footnote>
  <w:footnote w:id="11">
    <w:p w14:paraId="6A5D2F48" w14:textId="0F88D168" w:rsidR="00000E1C" w:rsidRPr="00C96BFB" w:rsidRDefault="00000000" w:rsidP="00C96BFB">
      <w:pPr>
        <w:pStyle w:val="FootnoteText"/>
        <w:spacing w:after="120"/>
        <w:ind w:left="-634"/>
        <w:rPr>
          <w:rFonts w:ascii="Georgia" w:hAnsi="Georgia"/>
          <w:sz w:val="18"/>
          <w:szCs w:val="18"/>
        </w:rPr>
      </w:pPr>
      <w:r w:rsidRPr="00C96BFB">
        <w:rPr>
          <w:rStyle w:val="FootnoteReference"/>
          <w:rFonts w:ascii="Georgia" w:hAnsi="Georgia"/>
          <w:sz w:val="16"/>
          <w:szCs w:val="16"/>
        </w:rPr>
        <w:footnoteRef/>
      </w:r>
      <w:r w:rsidRPr="00C96BFB">
        <w:rPr>
          <w:rFonts w:ascii="Georgia" w:hAnsi="Georgia"/>
          <w:sz w:val="16"/>
          <w:szCs w:val="16"/>
        </w:rPr>
        <w:t xml:space="preserve"> U.S. Census Bureau, Survey of Market Absorption</w:t>
      </w:r>
      <w:r w:rsidR="00C96BFB" w:rsidRPr="00C96BFB">
        <w:rPr>
          <w:rFonts w:ascii="Georgia" w:hAnsi="Georgia"/>
          <w:sz w:val="16"/>
          <w:szCs w:val="16"/>
        </w:rPr>
        <w:t xml:space="preserve">, </w:t>
      </w:r>
      <w:hyperlink r:id="rId7" w:history="1">
        <w:r w:rsidR="00C96BFB" w:rsidRPr="00C96BFB">
          <w:rPr>
            <w:rStyle w:val="Hyperlink"/>
            <w:rFonts w:ascii="Georgia" w:hAnsi="Georgia"/>
            <w:sz w:val="16"/>
            <w:szCs w:val="16"/>
          </w:rPr>
          <w:t>https://www.census.gov/data/developers/data-sets/soma.html</w:t>
        </w:r>
      </w:hyperlink>
      <w:r w:rsidRPr="00C96BFB">
        <w:rPr>
          <w:rFonts w:ascii="Georgia" w:hAnsi="Georgia"/>
          <w:sz w:val="16"/>
          <w:szCs w:val="16"/>
        </w:rPr>
        <w:t>.</w:t>
      </w:r>
    </w:p>
  </w:footnote>
  <w:footnote w:id="12">
    <w:p w14:paraId="13EBD8DE" w14:textId="06574361" w:rsidR="00397ADD" w:rsidRPr="00A34C34" w:rsidRDefault="00000000" w:rsidP="00A34C34">
      <w:pPr>
        <w:pStyle w:val="FootnoteText"/>
        <w:spacing w:after="120"/>
        <w:ind w:left="-634"/>
        <w:rPr>
          <w:rFonts w:ascii="Georgia" w:hAnsi="Georgia"/>
          <w:sz w:val="16"/>
          <w:szCs w:val="16"/>
        </w:rPr>
      </w:pPr>
      <w:r w:rsidRPr="00C96BFB">
        <w:rPr>
          <w:rStyle w:val="FootnoteReference"/>
          <w:rFonts w:ascii="Georgia" w:hAnsi="Georgia"/>
          <w:sz w:val="16"/>
          <w:szCs w:val="16"/>
        </w:rPr>
        <w:footnoteRef/>
      </w:r>
      <w:r w:rsidRPr="00C96BFB">
        <w:rPr>
          <w:rFonts w:ascii="Georgia" w:hAnsi="Georgia"/>
          <w:sz w:val="16"/>
          <w:szCs w:val="16"/>
        </w:rPr>
        <w:t xml:space="preserve"> </w:t>
      </w:r>
      <w:r w:rsidR="006E2CB8" w:rsidRPr="00C96BFB">
        <w:rPr>
          <w:rFonts w:ascii="Georgia" w:hAnsi="Georgia"/>
          <w:sz w:val="16"/>
          <w:szCs w:val="16"/>
        </w:rPr>
        <w:t xml:space="preserve">Harvard Joint Center for Housing Studies, </w:t>
      </w:r>
      <w:r w:rsidR="006E2CB8" w:rsidRPr="00C96BFB">
        <w:rPr>
          <w:rFonts w:ascii="Georgia" w:hAnsi="Georgia"/>
          <w:i/>
          <w:iCs/>
          <w:sz w:val="16"/>
          <w:szCs w:val="16"/>
        </w:rPr>
        <w:t>State of the Nation’s Housing 2024</w:t>
      </w:r>
      <w:r w:rsidR="0072637D" w:rsidRPr="00C96BFB">
        <w:rPr>
          <w:rFonts w:ascii="Georgia" w:hAnsi="Georgia"/>
          <w:i/>
          <w:iCs/>
          <w:sz w:val="16"/>
          <w:szCs w:val="16"/>
        </w:rPr>
        <w:t xml:space="preserve">, pg. 35, </w:t>
      </w:r>
      <w:hyperlink r:id="rId8" w:history="1">
        <w:r w:rsidR="0072637D" w:rsidRPr="00C96BFB">
          <w:rPr>
            <w:rStyle w:val="Hyperlink"/>
            <w:rFonts w:ascii="Georgia" w:hAnsi="Georgia"/>
            <w:i/>
            <w:iCs/>
            <w:sz w:val="16"/>
            <w:szCs w:val="16"/>
          </w:rPr>
          <w:t>https://www.jchs.harvard.edu/sites/default/files/reports/files/Harvard_JCHS_Americas_Rental_Housing_2024.pdf</w:t>
        </w:r>
      </w:hyperlink>
      <w:r w:rsidR="0072637D" w:rsidRPr="00C96BFB">
        <w:rPr>
          <w:rFonts w:ascii="Georgia" w:hAnsi="Georgia"/>
          <w:i/>
          <w:iCs/>
          <w:sz w:val="16"/>
          <w:szCs w:val="16"/>
        </w:rPr>
        <w:t>.</w:t>
      </w:r>
    </w:p>
  </w:footnote>
  <w:footnote w:id="13">
    <w:p w14:paraId="59EB6BDA" w14:textId="4CCD7E3B" w:rsidR="00767911" w:rsidRPr="00767911" w:rsidRDefault="00000000" w:rsidP="00767911">
      <w:pPr>
        <w:pStyle w:val="FootnoteText"/>
        <w:ind w:left="-634"/>
      </w:pPr>
      <w:r w:rsidRPr="00A34C34">
        <w:rPr>
          <w:rStyle w:val="FootnoteReference"/>
          <w:rFonts w:ascii="Georgia" w:hAnsi="Georgia"/>
          <w:sz w:val="16"/>
          <w:szCs w:val="16"/>
        </w:rPr>
        <w:footnoteRef/>
      </w:r>
      <w:r w:rsidRPr="00A34C34">
        <w:rPr>
          <w:rFonts w:ascii="Georgia" w:hAnsi="Georgia"/>
          <w:sz w:val="16"/>
          <w:szCs w:val="16"/>
        </w:rPr>
        <w:t xml:space="preserve"> </w:t>
      </w:r>
      <w:hyperlink r:id="rId9" w:history="1">
        <w:r w:rsidR="0072637D" w:rsidRPr="006B7CED">
          <w:rPr>
            <w:rStyle w:val="Hyperlink"/>
            <w:rFonts w:ascii="Georgia" w:hAnsi="Georgia"/>
            <w:sz w:val="16"/>
            <w:szCs w:val="16"/>
          </w:rPr>
          <w:t>https://www.novoco.com/notes-from-novogradac/qof-investments-build-homes-across-hundreds-of-american-cities</w:t>
        </w:r>
      </w:hyperlink>
      <w:r w:rsidR="0072637D">
        <w:rPr>
          <w:rFonts w:ascii="Georgia" w:hAnsi="Georgia"/>
          <w:sz w:val="16"/>
          <w:szCs w:val="16"/>
        </w:rPr>
        <w:t xml:space="preserve">. </w:t>
      </w:r>
    </w:p>
  </w:footnote>
  <w:footnote w:id="14">
    <w:p w14:paraId="48D7050C" w14:textId="52344FB2" w:rsidR="00B34B7E" w:rsidRPr="00A34C34" w:rsidRDefault="00000000" w:rsidP="005176FD">
      <w:pPr>
        <w:pStyle w:val="FootnoteText"/>
        <w:spacing w:after="120"/>
        <w:ind w:left="-634"/>
        <w:jc w:val="both"/>
        <w:rPr>
          <w:rFonts w:ascii="Georgia" w:hAnsi="Georgia"/>
          <w:sz w:val="16"/>
          <w:szCs w:val="16"/>
        </w:rPr>
      </w:pPr>
      <w:r w:rsidRPr="00A34C34">
        <w:rPr>
          <w:rStyle w:val="FootnoteReference"/>
          <w:rFonts w:ascii="Georgia" w:hAnsi="Georgia"/>
          <w:sz w:val="16"/>
          <w:szCs w:val="16"/>
        </w:rPr>
        <w:footnoteRef/>
      </w:r>
      <w:r w:rsidRPr="00A34C34">
        <w:rPr>
          <w:rFonts w:ascii="Georgia" w:hAnsi="Georgia"/>
          <w:sz w:val="16"/>
          <w:szCs w:val="16"/>
        </w:rPr>
        <w:t xml:space="preserve"> Kramer, Anita. </w:t>
      </w:r>
      <w:r w:rsidRPr="00A34C34">
        <w:rPr>
          <w:rFonts w:ascii="Georgia" w:hAnsi="Georgia"/>
          <w:i/>
          <w:iCs/>
          <w:sz w:val="16"/>
          <w:szCs w:val="16"/>
        </w:rPr>
        <w:t>Behind the Facade: The Feasibility of Converting Commercial Real Estate to Multifamily</w:t>
      </w:r>
      <w:r w:rsidRPr="00A34C34">
        <w:rPr>
          <w:rFonts w:ascii="Georgia" w:hAnsi="Georgia"/>
          <w:sz w:val="16"/>
          <w:szCs w:val="16"/>
        </w:rPr>
        <w:t>. Washington, D.C.: Urban Land Institute, 2023</w:t>
      </w:r>
      <w:r w:rsidR="00CD1674">
        <w:rPr>
          <w:rFonts w:ascii="Georgia" w:hAnsi="Georgia"/>
          <w:sz w:val="16"/>
          <w:szCs w:val="16"/>
        </w:rPr>
        <w:t xml:space="preserve">, </w:t>
      </w:r>
      <w:hyperlink r:id="rId10" w:history="1">
        <w:r w:rsidRPr="00A34C34">
          <w:rPr>
            <w:rStyle w:val="Hyperlink"/>
            <w:rFonts w:ascii="Georgia" w:hAnsi="Georgia"/>
            <w:sz w:val="16"/>
            <w:szCs w:val="16"/>
          </w:rPr>
          <w:t>https://www.nmhc.org/globalassets/research--insight/research-reports/conversion/behind-the-facade_conversion-report.pdf</w:t>
        </w:r>
      </w:hyperlink>
      <w:r w:rsidR="00CC11FF">
        <w:rPr>
          <w:rStyle w:val="Hyperlink"/>
          <w:rFonts w:ascii="Georgia" w:hAnsi="Georgia"/>
          <w:sz w:val="16"/>
          <w:szCs w:val="16"/>
        </w:rPr>
        <w:t>.</w:t>
      </w:r>
    </w:p>
  </w:footnote>
  <w:footnote w:id="15">
    <w:p w14:paraId="170350D9" w14:textId="2C703A85" w:rsidR="007615CA" w:rsidRPr="007615CA" w:rsidRDefault="00000000" w:rsidP="009A6E80">
      <w:pPr>
        <w:pStyle w:val="FootnoteText"/>
        <w:spacing w:after="120"/>
        <w:ind w:left="-634"/>
        <w:rPr>
          <w:rFonts w:ascii="Georgia" w:hAnsi="Georgia"/>
          <w:sz w:val="16"/>
          <w:szCs w:val="16"/>
        </w:rPr>
      </w:pPr>
      <w:r w:rsidRPr="007615CA">
        <w:rPr>
          <w:rStyle w:val="FootnoteReference"/>
          <w:rFonts w:ascii="Georgia" w:hAnsi="Georgia"/>
          <w:sz w:val="16"/>
          <w:szCs w:val="16"/>
        </w:rPr>
        <w:footnoteRef/>
      </w:r>
      <w:r w:rsidRPr="007615CA">
        <w:rPr>
          <w:rFonts w:ascii="Georgia" w:hAnsi="Georgia"/>
          <w:sz w:val="16"/>
          <w:szCs w:val="16"/>
        </w:rPr>
        <w:t xml:space="preserve"> </w:t>
      </w:r>
      <w:hyperlink r:id="rId11" w:history="1">
        <w:r w:rsidR="00A70A7D" w:rsidRPr="00C94F81">
          <w:rPr>
            <w:rStyle w:val="Hyperlink"/>
            <w:rFonts w:ascii="Georgia" w:hAnsi="Georgia"/>
            <w:sz w:val="16"/>
            <w:szCs w:val="16"/>
          </w:rPr>
          <w:t>https://dcregs.dc.gov/Common/NoticeDetail.aspx?NoticeId=N135303</w:t>
        </w:r>
      </w:hyperlink>
      <w:r w:rsidRPr="007615CA">
        <w:rPr>
          <w:rFonts w:ascii="Georgia" w:hAnsi="Georgia"/>
          <w:sz w:val="16"/>
          <w:szCs w:val="16"/>
        </w:rPr>
        <w:t xml:space="preserve"> and </w:t>
      </w:r>
      <w:hyperlink r:id="rId12" w:history="1">
        <w:r w:rsidRPr="007615CA">
          <w:rPr>
            <w:rStyle w:val="Hyperlink"/>
            <w:rFonts w:ascii="Georgia" w:hAnsi="Georgia"/>
            <w:sz w:val="16"/>
            <w:szCs w:val="16"/>
          </w:rPr>
          <w:t>https://www.nyc.gov/site/officeconversions/index.page</w:t>
        </w:r>
      </w:hyperlink>
      <w:r w:rsidR="00CC11FF">
        <w:rPr>
          <w:rStyle w:val="Hyperlink"/>
          <w:rFonts w:ascii="Georgia" w:hAnsi="Georgia"/>
          <w:sz w:val="16"/>
          <w:szCs w:val="16"/>
        </w:rPr>
        <w:t>.</w:t>
      </w:r>
    </w:p>
  </w:footnote>
  <w:footnote w:id="16">
    <w:p w14:paraId="49A24DC3" w14:textId="4EC2A3CF" w:rsidR="00B34B7E" w:rsidRDefault="00000000" w:rsidP="005176FD">
      <w:pPr>
        <w:pStyle w:val="FootnoteText"/>
        <w:ind w:left="-634"/>
        <w:jc w:val="both"/>
      </w:pPr>
      <w:r>
        <w:rPr>
          <w:rStyle w:val="FootnoteReference"/>
        </w:rPr>
        <w:footnoteRef/>
      </w:r>
      <w:r w:rsidRPr="00E77DBE">
        <w:t xml:space="preserve"> </w:t>
      </w:r>
      <w:r w:rsidRPr="00E77DBE">
        <w:rPr>
          <w:rFonts w:ascii="Georgia" w:hAnsi="Georgia"/>
          <w:sz w:val="16"/>
          <w:szCs w:val="16"/>
        </w:rPr>
        <w:t xml:space="preserve">Kramer, Anita. </w:t>
      </w:r>
      <w:r w:rsidRPr="00A34C34">
        <w:rPr>
          <w:rFonts w:ascii="Georgia" w:hAnsi="Georgia"/>
          <w:i/>
          <w:iCs/>
          <w:sz w:val="16"/>
          <w:szCs w:val="16"/>
        </w:rPr>
        <w:t>Behind the Facade: The Feasibility of Converting Commercial Real Estate to Multifamily</w:t>
      </w:r>
      <w:r w:rsidRPr="00A34C34">
        <w:rPr>
          <w:rFonts w:ascii="Georgia" w:hAnsi="Georgia"/>
          <w:sz w:val="16"/>
          <w:szCs w:val="16"/>
        </w:rPr>
        <w:t>. Washington, D.C.: Urban Land Institute, 2023</w:t>
      </w:r>
      <w:r w:rsidR="00CD1674">
        <w:rPr>
          <w:rFonts w:ascii="Georgia" w:hAnsi="Georgia"/>
          <w:sz w:val="16"/>
          <w:szCs w:val="16"/>
        </w:rPr>
        <w:t xml:space="preserve">, </w:t>
      </w:r>
      <w:hyperlink r:id="rId13" w:history="1">
        <w:r w:rsidRPr="00A34C34">
          <w:rPr>
            <w:rStyle w:val="Hyperlink"/>
            <w:rFonts w:ascii="Georgia" w:hAnsi="Georgia"/>
            <w:sz w:val="16"/>
            <w:szCs w:val="16"/>
          </w:rPr>
          <w:t>https://www.nmhc.org/globalassets/research--insight/research-reports/conversion/behind-the-facade_conversion-report.pdf</w:t>
        </w:r>
      </w:hyperlink>
      <w:r w:rsidR="00CC11FF">
        <w:rPr>
          <w:rStyle w:val="Hyperlink"/>
          <w:rFonts w:ascii="Georgia" w:hAnsi="Georgia"/>
          <w:sz w:val="16"/>
          <w:szCs w:val="16"/>
        </w:rPr>
        <w:t>.</w:t>
      </w:r>
    </w:p>
  </w:footnote>
  <w:footnote w:id="17">
    <w:p w14:paraId="71076D07" w14:textId="699EFBE7" w:rsidR="00B81678" w:rsidRPr="00B81678" w:rsidRDefault="00000000" w:rsidP="005176FD">
      <w:pPr>
        <w:ind w:left="-634"/>
        <w:jc w:val="both"/>
        <w:rPr>
          <w:rFonts w:ascii="Georgia" w:hAnsi="Georgia"/>
          <w:sz w:val="16"/>
          <w:szCs w:val="16"/>
        </w:rPr>
      </w:pPr>
      <w:r w:rsidRPr="00B81678">
        <w:rPr>
          <w:rStyle w:val="FootnoteReference"/>
          <w:rFonts w:ascii="Georgia" w:hAnsi="Georgia"/>
          <w:sz w:val="16"/>
          <w:szCs w:val="16"/>
        </w:rPr>
        <w:footnoteRef/>
      </w:r>
      <w:r w:rsidRPr="00B81678">
        <w:rPr>
          <w:rFonts w:ascii="Georgia" w:hAnsi="Georgia"/>
          <w:sz w:val="16"/>
          <w:szCs w:val="16"/>
        </w:rPr>
        <w:t xml:space="preserve"> Under current law, today’s 37 percent rate reverts to 39.6 percent</w:t>
      </w:r>
      <w:r w:rsidR="002C7090">
        <w:rPr>
          <w:rFonts w:ascii="Georgia" w:hAnsi="Georgia"/>
          <w:sz w:val="16"/>
          <w:szCs w:val="16"/>
        </w:rPr>
        <w:t xml:space="preserve"> </w:t>
      </w:r>
      <w:r w:rsidRPr="00B81678">
        <w:rPr>
          <w:rFonts w:ascii="Georgia" w:hAnsi="Georgia"/>
          <w:sz w:val="16"/>
          <w:szCs w:val="16"/>
        </w:rPr>
        <w:t xml:space="preserve">beginning in 2026 following the expiration of </w:t>
      </w:r>
      <w:r w:rsidRPr="00B81678">
        <w:rPr>
          <w:rFonts w:ascii="Georgia" w:hAnsi="Georgia"/>
          <w:i/>
          <w:iCs/>
          <w:sz w:val="16"/>
          <w:szCs w:val="16"/>
        </w:rPr>
        <w:t>TJCA</w:t>
      </w:r>
      <w:r w:rsidRPr="00B81678">
        <w:rPr>
          <w:rFonts w:ascii="Georgia" w:hAnsi="Georgia"/>
          <w:sz w:val="16"/>
          <w:szCs w:val="16"/>
        </w:rPr>
        <w:t xml:space="preserve">. The </w:t>
      </w:r>
      <w:r w:rsidR="00810330">
        <w:rPr>
          <w:rFonts w:ascii="Georgia" w:hAnsi="Georgia"/>
          <w:sz w:val="16"/>
          <w:szCs w:val="16"/>
        </w:rPr>
        <w:t xml:space="preserve">section 199A </w:t>
      </w:r>
      <w:r w:rsidRPr="00B81678">
        <w:rPr>
          <w:rFonts w:ascii="Georgia" w:hAnsi="Georgia"/>
          <w:sz w:val="16"/>
          <w:szCs w:val="16"/>
        </w:rPr>
        <w:t>20</w:t>
      </w:r>
      <w:r w:rsidR="00810330">
        <w:rPr>
          <w:rFonts w:ascii="Georgia" w:hAnsi="Georgia"/>
          <w:sz w:val="16"/>
          <w:szCs w:val="16"/>
        </w:rPr>
        <w:t>-</w:t>
      </w:r>
      <w:r w:rsidRPr="00B81678">
        <w:rPr>
          <w:rFonts w:ascii="Georgia" w:hAnsi="Georgia"/>
          <w:sz w:val="16"/>
          <w:szCs w:val="16"/>
        </w:rPr>
        <w:t xml:space="preserve">percent qualified business income deduction, which effectively reduces today’s top 37 percent rate to 29.6 percent, expires at the end of 2025 as well. It should be noted that today’s top 37 percent tax rate does not apply until a single filer earns over $609,350 and a married filer earns over $731,200 (and both thresholds will revert </w:t>
      </w:r>
      <w:r w:rsidR="00810330">
        <w:rPr>
          <w:rFonts w:ascii="Georgia" w:hAnsi="Georgia"/>
          <w:sz w:val="16"/>
          <w:szCs w:val="16"/>
        </w:rPr>
        <w:t xml:space="preserve">in 2026 </w:t>
      </w:r>
      <w:r w:rsidRPr="00B81678">
        <w:rPr>
          <w:rFonts w:ascii="Georgia" w:hAnsi="Georgia"/>
          <w:sz w:val="16"/>
          <w:szCs w:val="16"/>
        </w:rPr>
        <w:t>to significantly lower pre-TCJA levels</w:t>
      </w:r>
      <w:r w:rsidR="00810330">
        <w:rPr>
          <w:rFonts w:ascii="Georgia" w:hAnsi="Georgia"/>
          <w:sz w:val="16"/>
          <w:szCs w:val="16"/>
        </w:rPr>
        <w:t xml:space="preserve">, although still </w:t>
      </w:r>
      <w:r w:rsidRPr="00B81678">
        <w:rPr>
          <w:rFonts w:ascii="Georgia" w:hAnsi="Georgia"/>
          <w:sz w:val="16"/>
          <w:szCs w:val="16"/>
        </w:rPr>
        <w:t xml:space="preserve">indexed for inflation </w:t>
      </w:r>
      <w:r w:rsidR="00810330">
        <w:rPr>
          <w:rFonts w:ascii="Georgia" w:hAnsi="Georgia"/>
          <w:sz w:val="16"/>
          <w:szCs w:val="16"/>
        </w:rPr>
        <w:t>from 2017</w:t>
      </w:r>
      <w:r w:rsidRPr="00B81678">
        <w:rPr>
          <w:rFonts w:ascii="Georgia" w:hAnsi="Georgia"/>
          <w:sz w:val="16"/>
          <w:szCs w:val="16"/>
        </w:rPr>
        <w:t>).</w:t>
      </w:r>
    </w:p>
    <w:p w14:paraId="0D4250DF" w14:textId="35878B61" w:rsidR="00B81678" w:rsidRDefault="00B81678">
      <w:pPr>
        <w:pStyle w:val="FootnoteText"/>
      </w:pPr>
    </w:p>
  </w:footnote>
  <w:footnote w:id="18">
    <w:p w14:paraId="0FBE13B1" w14:textId="3F53CB71" w:rsidR="00C71EC4" w:rsidRPr="00C71EC4" w:rsidRDefault="00C71EC4" w:rsidP="005176FD">
      <w:pPr>
        <w:pStyle w:val="FootnoteText"/>
        <w:ind w:left="-634"/>
        <w:jc w:val="both"/>
        <w:rPr>
          <w:rFonts w:ascii="Georgia" w:hAnsi="Georgia"/>
          <w:sz w:val="16"/>
          <w:szCs w:val="16"/>
        </w:rPr>
      </w:pPr>
      <w:r w:rsidRPr="00C71EC4">
        <w:rPr>
          <w:rStyle w:val="FootnoteReference"/>
          <w:rFonts w:ascii="Georgia" w:hAnsi="Georgia"/>
          <w:sz w:val="16"/>
          <w:szCs w:val="16"/>
        </w:rPr>
        <w:footnoteRef/>
      </w:r>
      <w:r w:rsidRPr="00C71EC4">
        <w:rPr>
          <w:rFonts w:ascii="Georgia" w:hAnsi="Georgia"/>
          <w:sz w:val="16"/>
          <w:szCs w:val="16"/>
        </w:rPr>
        <w:t xml:space="preserve"> While many of these types of income are taxed </w:t>
      </w:r>
      <w:proofErr w:type="spellStart"/>
      <w:r w:rsidRPr="00C71EC4">
        <w:rPr>
          <w:rFonts w:ascii="Georgia" w:hAnsi="Georgia"/>
          <w:sz w:val="16"/>
          <w:szCs w:val="16"/>
        </w:rPr>
        <w:t>at</w:t>
      </w:r>
      <w:proofErr w:type="spellEnd"/>
      <w:r w:rsidRPr="00C71EC4">
        <w:rPr>
          <w:rFonts w:ascii="Georgia" w:hAnsi="Georgia"/>
          <w:sz w:val="16"/>
          <w:szCs w:val="16"/>
        </w:rPr>
        <w:t xml:space="preserve"> ordinary income tax rates, long-term capital gains and qualified dividends, which would fall within the proposal, are currently taxed at long-term capital gains rates. These types of income are discussed directly below in the section specifically addressing capital gains and qualified dividends.</w:t>
      </w:r>
    </w:p>
  </w:footnote>
  <w:footnote w:id="19">
    <w:p w14:paraId="7FFDDBF8" w14:textId="3E5C3576" w:rsidR="00C70E3F" w:rsidRPr="004B6E9B" w:rsidRDefault="00000000" w:rsidP="005176FD">
      <w:pPr>
        <w:pStyle w:val="FootnoteText"/>
        <w:ind w:left="-634"/>
        <w:jc w:val="both"/>
        <w:rPr>
          <w:rFonts w:ascii="Georgia" w:hAnsi="Georgia"/>
          <w:sz w:val="16"/>
          <w:szCs w:val="16"/>
        </w:rPr>
      </w:pPr>
      <w:r w:rsidRPr="004B6E9B">
        <w:rPr>
          <w:rStyle w:val="FootnoteReference"/>
          <w:rFonts w:ascii="Georgia" w:hAnsi="Georgia"/>
          <w:sz w:val="16"/>
          <w:szCs w:val="16"/>
        </w:rPr>
        <w:footnoteRef/>
      </w:r>
      <w:r w:rsidRPr="004B6E9B">
        <w:rPr>
          <w:rFonts w:ascii="Georgia" w:hAnsi="Georgia"/>
          <w:sz w:val="16"/>
          <w:szCs w:val="16"/>
        </w:rPr>
        <w:t xml:space="preserve"> Internal Revenue Service, SOI Tax Stats – Partnership Statistics by Sector or Industry, All Partnerships, Table 1: All Partnerships: Total Assets, Trade or Business Income and Deductions, Portfolio Income, Rental Income, and Total Net Income (Loss), by Industrial Group,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169D" w14:textId="77777777" w:rsidR="00C53C69" w:rsidRDefault="00000000">
    <w:pPr>
      <w:pStyle w:val="Header"/>
    </w:pPr>
    <w:r>
      <w:rPr>
        <w:noProof/>
      </w:rPr>
      <w:drawing>
        <wp:anchor distT="0" distB="0" distL="114300" distR="114300" simplePos="0" relativeHeight="251658240" behindDoc="1" locked="0" layoutInCell="1" allowOverlap="1" wp14:anchorId="7707008E" wp14:editId="62AD361A">
          <wp:simplePos x="0" y="0"/>
          <wp:positionH relativeFrom="column">
            <wp:posOffset>-409575</wp:posOffset>
          </wp:positionH>
          <wp:positionV relativeFrom="paragraph">
            <wp:posOffset>-209550</wp:posOffset>
          </wp:positionV>
          <wp:extent cx="3432175" cy="536575"/>
          <wp:effectExtent l="0" t="0" r="0" b="0"/>
          <wp:wrapTight wrapText="bothSides">
            <wp:wrapPolygon edited="0">
              <wp:start x="6834" y="0"/>
              <wp:lineTo x="0" y="0"/>
              <wp:lineTo x="0" y="18405"/>
              <wp:lineTo x="14626" y="20705"/>
              <wp:lineTo x="21460" y="20705"/>
              <wp:lineTo x="21460" y="0"/>
              <wp:lineTo x="68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33462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2175" cy="53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138"/>
    <w:multiLevelType w:val="hybridMultilevel"/>
    <w:tmpl w:val="43EAEDD6"/>
    <w:lvl w:ilvl="0" w:tplc="61F0A58E">
      <w:start w:val="1"/>
      <w:numFmt w:val="bullet"/>
      <w:lvlText w:val=""/>
      <w:lvlJc w:val="left"/>
      <w:pPr>
        <w:ind w:left="720" w:hanging="360"/>
      </w:pPr>
      <w:rPr>
        <w:rFonts w:ascii="Symbol" w:hAnsi="Symbol" w:hint="default"/>
      </w:rPr>
    </w:lvl>
    <w:lvl w:ilvl="1" w:tplc="DE7A9378">
      <w:start w:val="1"/>
      <w:numFmt w:val="bullet"/>
      <w:lvlText w:val="o"/>
      <w:lvlJc w:val="left"/>
      <w:pPr>
        <w:ind w:left="1440" w:hanging="360"/>
      </w:pPr>
      <w:rPr>
        <w:rFonts w:ascii="Courier New" w:hAnsi="Courier New" w:cs="Courier New" w:hint="default"/>
      </w:rPr>
    </w:lvl>
    <w:lvl w:ilvl="2" w:tplc="F67EF8B8" w:tentative="1">
      <w:start w:val="1"/>
      <w:numFmt w:val="bullet"/>
      <w:lvlText w:val=""/>
      <w:lvlJc w:val="left"/>
      <w:pPr>
        <w:ind w:left="2160" w:hanging="360"/>
      </w:pPr>
      <w:rPr>
        <w:rFonts w:ascii="Wingdings" w:hAnsi="Wingdings" w:hint="default"/>
      </w:rPr>
    </w:lvl>
    <w:lvl w:ilvl="3" w:tplc="4A04F6FE" w:tentative="1">
      <w:start w:val="1"/>
      <w:numFmt w:val="bullet"/>
      <w:lvlText w:val=""/>
      <w:lvlJc w:val="left"/>
      <w:pPr>
        <w:ind w:left="2880" w:hanging="360"/>
      </w:pPr>
      <w:rPr>
        <w:rFonts w:ascii="Symbol" w:hAnsi="Symbol" w:hint="default"/>
      </w:rPr>
    </w:lvl>
    <w:lvl w:ilvl="4" w:tplc="223218B4" w:tentative="1">
      <w:start w:val="1"/>
      <w:numFmt w:val="bullet"/>
      <w:lvlText w:val="o"/>
      <w:lvlJc w:val="left"/>
      <w:pPr>
        <w:ind w:left="3600" w:hanging="360"/>
      </w:pPr>
      <w:rPr>
        <w:rFonts w:ascii="Courier New" w:hAnsi="Courier New" w:cs="Courier New" w:hint="default"/>
      </w:rPr>
    </w:lvl>
    <w:lvl w:ilvl="5" w:tplc="28A0EF4A" w:tentative="1">
      <w:start w:val="1"/>
      <w:numFmt w:val="bullet"/>
      <w:lvlText w:val=""/>
      <w:lvlJc w:val="left"/>
      <w:pPr>
        <w:ind w:left="4320" w:hanging="360"/>
      </w:pPr>
      <w:rPr>
        <w:rFonts w:ascii="Wingdings" w:hAnsi="Wingdings" w:hint="default"/>
      </w:rPr>
    </w:lvl>
    <w:lvl w:ilvl="6" w:tplc="AFEA1840" w:tentative="1">
      <w:start w:val="1"/>
      <w:numFmt w:val="bullet"/>
      <w:lvlText w:val=""/>
      <w:lvlJc w:val="left"/>
      <w:pPr>
        <w:ind w:left="5040" w:hanging="360"/>
      </w:pPr>
      <w:rPr>
        <w:rFonts w:ascii="Symbol" w:hAnsi="Symbol" w:hint="default"/>
      </w:rPr>
    </w:lvl>
    <w:lvl w:ilvl="7" w:tplc="D8106EDA" w:tentative="1">
      <w:start w:val="1"/>
      <w:numFmt w:val="bullet"/>
      <w:lvlText w:val="o"/>
      <w:lvlJc w:val="left"/>
      <w:pPr>
        <w:ind w:left="5760" w:hanging="360"/>
      </w:pPr>
      <w:rPr>
        <w:rFonts w:ascii="Courier New" w:hAnsi="Courier New" w:cs="Courier New" w:hint="default"/>
      </w:rPr>
    </w:lvl>
    <w:lvl w:ilvl="8" w:tplc="2A2089DE" w:tentative="1">
      <w:start w:val="1"/>
      <w:numFmt w:val="bullet"/>
      <w:lvlText w:val=""/>
      <w:lvlJc w:val="left"/>
      <w:pPr>
        <w:ind w:left="6480" w:hanging="360"/>
      </w:pPr>
      <w:rPr>
        <w:rFonts w:ascii="Wingdings" w:hAnsi="Wingdings" w:hint="default"/>
      </w:rPr>
    </w:lvl>
  </w:abstractNum>
  <w:abstractNum w:abstractNumId="1" w15:restartNumberingAfterBreak="0">
    <w:nsid w:val="0BEC060C"/>
    <w:multiLevelType w:val="hybridMultilevel"/>
    <w:tmpl w:val="733C2AD6"/>
    <w:lvl w:ilvl="0" w:tplc="A42009C8">
      <w:start w:val="1"/>
      <w:numFmt w:val="bullet"/>
      <w:lvlText w:val=""/>
      <w:lvlJc w:val="left"/>
      <w:pPr>
        <w:ind w:left="245" w:hanging="360"/>
      </w:pPr>
      <w:rPr>
        <w:rFonts w:ascii="Symbol" w:hAnsi="Symbol" w:hint="default"/>
      </w:rPr>
    </w:lvl>
    <w:lvl w:ilvl="1" w:tplc="84DA1DA0" w:tentative="1">
      <w:start w:val="1"/>
      <w:numFmt w:val="bullet"/>
      <w:lvlText w:val="o"/>
      <w:lvlJc w:val="left"/>
      <w:pPr>
        <w:ind w:left="965" w:hanging="360"/>
      </w:pPr>
      <w:rPr>
        <w:rFonts w:ascii="Courier New" w:hAnsi="Courier New" w:cs="Courier New" w:hint="default"/>
      </w:rPr>
    </w:lvl>
    <w:lvl w:ilvl="2" w:tplc="068EE3F6" w:tentative="1">
      <w:start w:val="1"/>
      <w:numFmt w:val="bullet"/>
      <w:lvlText w:val=""/>
      <w:lvlJc w:val="left"/>
      <w:pPr>
        <w:ind w:left="1685" w:hanging="360"/>
      </w:pPr>
      <w:rPr>
        <w:rFonts w:ascii="Wingdings" w:hAnsi="Wingdings" w:hint="default"/>
      </w:rPr>
    </w:lvl>
    <w:lvl w:ilvl="3" w:tplc="0C86B77E" w:tentative="1">
      <w:start w:val="1"/>
      <w:numFmt w:val="bullet"/>
      <w:lvlText w:val=""/>
      <w:lvlJc w:val="left"/>
      <w:pPr>
        <w:ind w:left="2405" w:hanging="360"/>
      </w:pPr>
      <w:rPr>
        <w:rFonts w:ascii="Symbol" w:hAnsi="Symbol" w:hint="default"/>
      </w:rPr>
    </w:lvl>
    <w:lvl w:ilvl="4" w:tplc="13F64B66" w:tentative="1">
      <w:start w:val="1"/>
      <w:numFmt w:val="bullet"/>
      <w:lvlText w:val="o"/>
      <w:lvlJc w:val="left"/>
      <w:pPr>
        <w:ind w:left="3125" w:hanging="360"/>
      </w:pPr>
      <w:rPr>
        <w:rFonts w:ascii="Courier New" w:hAnsi="Courier New" w:cs="Courier New" w:hint="default"/>
      </w:rPr>
    </w:lvl>
    <w:lvl w:ilvl="5" w:tplc="0E74BF32" w:tentative="1">
      <w:start w:val="1"/>
      <w:numFmt w:val="bullet"/>
      <w:lvlText w:val=""/>
      <w:lvlJc w:val="left"/>
      <w:pPr>
        <w:ind w:left="3845" w:hanging="360"/>
      </w:pPr>
      <w:rPr>
        <w:rFonts w:ascii="Wingdings" w:hAnsi="Wingdings" w:hint="default"/>
      </w:rPr>
    </w:lvl>
    <w:lvl w:ilvl="6" w:tplc="69DA5A50" w:tentative="1">
      <w:start w:val="1"/>
      <w:numFmt w:val="bullet"/>
      <w:lvlText w:val=""/>
      <w:lvlJc w:val="left"/>
      <w:pPr>
        <w:ind w:left="4565" w:hanging="360"/>
      </w:pPr>
      <w:rPr>
        <w:rFonts w:ascii="Symbol" w:hAnsi="Symbol" w:hint="default"/>
      </w:rPr>
    </w:lvl>
    <w:lvl w:ilvl="7" w:tplc="134CB80C" w:tentative="1">
      <w:start w:val="1"/>
      <w:numFmt w:val="bullet"/>
      <w:lvlText w:val="o"/>
      <w:lvlJc w:val="left"/>
      <w:pPr>
        <w:ind w:left="5285" w:hanging="360"/>
      </w:pPr>
      <w:rPr>
        <w:rFonts w:ascii="Courier New" w:hAnsi="Courier New" w:cs="Courier New" w:hint="default"/>
      </w:rPr>
    </w:lvl>
    <w:lvl w:ilvl="8" w:tplc="4CD04F68" w:tentative="1">
      <w:start w:val="1"/>
      <w:numFmt w:val="bullet"/>
      <w:lvlText w:val=""/>
      <w:lvlJc w:val="left"/>
      <w:pPr>
        <w:ind w:left="6005" w:hanging="360"/>
      </w:pPr>
      <w:rPr>
        <w:rFonts w:ascii="Wingdings" w:hAnsi="Wingdings" w:hint="default"/>
      </w:rPr>
    </w:lvl>
  </w:abstractNum>
  <w:abstractNum w:abstractNumId="2" w15:restartNumberingAfterBreak="0">
    <w:nsid w:val="104E3B1F"/>
    <w:multiLevelType w:val="hybridMultilevel"/>
    <w:tmpl w:val="5C942DB4"/>
    <w:lvl w:ilvl="0" w:tplc="3B7C55A2">
      <w:start w:val="1"/>
      <w:numFmt w:val="bullet"/>
      <w:lvlText w:val=""/>
      <w:lvlJc w:val="left"/>
      <w:pPr>
        <w:tabs>
          <w:tab w:val="num" w:pos="720"/>
        </w:tabs>
        <w:ind w:left="720" w:hanging="360"/>
      </w:pPr>
      <w:rPr>
        <w:rFonts w:ascii="Symbol" w:hAnsi="Symbol" w:hint="default"/>
      </w:rPr>
    </w:lvl>
    <w:lvl w:ilvl="1" w:tplc="8D80F344">
      <w:start w:val="1"/>
      <w:numFmt w:val="bullet"/>
      <w:lvlText w:val="o"/>
      <w:lvlJc w:val="left"/>
      <w:pPr>
        <w:tabs>
          <w:tab w:val="num" w:pos="540"/>
        </w:tabs>
        <w:ind w:left="540" w:hanging="360"/>
      </w:pPr>
      <w:rPr>
        <w:rFonts w:ascii="Courier New" w:hAnsi="Courier New" w:cs="Courier New" w:hint="default"/>
      </w:rPr>
    </w:lvl>
    <w:lvl w:ilvl="2" w:tplc="FCAE55CC">
      <w:start w:val="1"/>
      <w:numFmt w:val="bullet"/>
      <w:lvlText w:val=""/>
      <w:lvlJc w:val="left"/>
      <w:pPr>
        <w:tabs>
          <w:tab w:val="num" w:pos="1440"/>
        </w:tabs>
        <w:ind w:left="1440" w:hanging="360"/>
      </w:pPr>
      <w:rPr>
        <w:rFonts w:ascii="Wingdings" w:hAnsi="Wingdings" w:hint="default"/>
      </w:rPr>
    </w:lvl>
    <w:lvl w:ilvl="3" w:tplc="D54073A8" w:tentative="1">
      <w:start w:val="1"/>
      <w:numFmt w:val="bullet"/>
      <w:lvlText w:val=""/>
      <w:lvlJc w:val="left"/>
      <w:pPr>
        <w:tabs>
          <w:tab w:val="num" w:pos="2880"/>
        </w:tabs>
        <w:ind w:left="2880" w:hanging="360"/>
      </w:pPr>
      <w:rPr>
        <w:rFonts w:ascii="Symbol" w:hAnsi="Symbol" w:hint="default"/>
      </w:rPr>
    </w:lvl>
    <w:lvl w:ilvl="4" w:tplc="7FEA90BE" w:tentative="1">
      <w:start w:val="1"/>
      <w:numFmt w:val="bullet"/>
      <w:lvlText w:val="o"/>
      <w:lvlJc w:val="left"/>
      <w:pPr>
        <w:tabs>
          <w:tab w:val="num" w:pos="3600"/>
        </w:tabs>
        <w:ind w:left="3600" w:hanging="360"/>
      </w:pPr>
      <w:rPr>
        <w:rFonts w:ascii="Courier New" w:hAnsi="Courier New" w:cs="Courier New" w:hint="default"/>
      </w:rPr>
    </w:lvl>
    <w:lvl w:ilvl="5" w:tplc="77322808" w:tentative="1">
      <w:start w:val="1"/>
      <w:numFmt w:val="bullet"/>
      <w:lvlText w:val=""/>
      <w:lvlJc w:val="left"/>
      <w:pPr>
        <w:tabs>
          <w:tab w:val="num" w:pos="4320"/>
        </w:tabs>
        <w:ind w:left="4320" w:hanging="360"/>
      </w:pPr>
      <w:rPr>
        <w:rFonts w:ascii="Wingdings" w:hAnsi="Wingdings" w:hint="default"/>
      </w:rPr>
    </w:lvl>
    <w:lvl w:ilvl="6" w:tplc="186E7EB4" w:tentative="1">
      <w:start w:val="1"/>
      <w:numFmt w:val="bullet"/>
      <w:lvlText w:val=""/>
      <w:lvlJc w:val="left"/>
      <w:pPr>
        <w:tabs>
          <w:tab w:val="num" w:pos="5040"/>
        </w:tabs>
        <w:ind w:left="5040" w:hanging="360"/>
      </w:pPr>
      <w:rPr>
        <w:rFonts w:ascii="Symbol" w:hAnsi="Symbol" w:hint="default"/>
      </w:rPr>
    </w:lvl>
    <w:lvl w:ilvl="7" w:tplc="1DDAB708" w:tentative="1">
      <w:start w:val="1"/>
      <w:numFmt w:val="bullet"/>
      <w:lvlText w:val="o"/>
      <w:lvlJc w:val="left"/>
      <w:pPr>
        <w:tabs>
          <w:tab w:val="num" w:pos="5760"/>
        </w:tabs>
        <w:ind w:left="5760" w:hanging="360"/>
      </w:pPr>
      <w:rPr>
        <w:rFonts w:ascii="Courier New" w:hAnsi="Courier New" w:cs="Courier New" w:hint="default"/>
      </w:rPr>
    </w:lvl>
    <w:lvl w:ilvl="8" w:tplc="28A80F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30BAC"/>
    <w:multiLevelType w:val="hybridMultilevel"/>
    <w:tmpl w:val="E3BE9640"/>
    <w:lvl w:ilvl="0" w:tplc="D90E78F4">
      <w:start w:val="1"/>
      <w:numFmt w:val="bullet"/>
      <w:lvlText w:val=""/>
      <w:lvlJc w:val="left"/>
      <w:pPr>
        <w:ind w:left="4680" w:hanging="360"/>
      </w:pPr>
      <w:rPr>
        <w:rFonts w:ascii="Symbol" w:hAnsi="Symbol" w:hint="default"/>
      </w:rPr>
    </w:lvl>
    <w:lvl w:ilvl="1" w:tplc="B13CFA54" w:tentative="1">
      <w:start w:val="1"/>
      <w:numFmt w:val="bullet"/>
      <w:lvlText w:val="o"/>
      <w:lvlJc w:val="left"/>
      <w:pPr>
        <w:ind w:left="5400" w:hanging="360"/>
      </w:pPr>
      <w:rPr>
        <w:rFonts w:ascii="Courier New" w:hAnsi="Courier New" w:hint="default"/>
      </w:rPr>
    </w:lvl>
    <w:lvl w:ilvl="2" w:tplc="F2BEF530" w:tentative="1">
      <w:start w:val="1"/>
      <w:numFmt w:val="bullet"/>
      <w:lvlText w:val=""/>
      <w:lvlJc w:val="left"/>
      <w:pPr>
        <w:ind w:left="6120" w:hanging="360"/>
      </w:pPr>
      <w:rPr>
        <w:rFonts w:ascii="Wingdings" w:hAnsi="Wingdings" w:hint="default"/>
      </w:rPr>
    </w:lvl>
    <w:lvl w:ilvl="3" w:tplc="F0AA6022" w:tentative="1">
      <w:start w:val="1"/>
      <w:numFmt w:val="bullet"/>
      <w:lvlText w:val=""/>
      <w:lvlJc w:val="left"/>
      <w:pPr>
        <w:ind w:left="6840" w:hanging="360"/>
      </w:pPr>
      <w:rPr>
        <w:rFonts w:ascii="Symbol" w:hAnsi="Symbol" w:hint="default"/>
      </w:rPr>
    </w:lvl>
    <w:lvl w:ilvl="4" w:tplc="66DA13EA" w:tentative="1">
      <w:start w:val="1"/>
      <w:numFmt w:val="bullet"/>
      <w:lvlText w:val="o"/>
      <w:lvlJc w:val="left"/>
      <w:pPr>
        <w:ind w:left="7560" w:hanging="360"/>
      </w:pPr>
      <w:rPr>
        <w:rFonts w:ascii="Courier New" w:hAnsi="Courier New" w:hint="default"/>
      </w:rPr>
    </w:lvl>
    <w:lvl w:ilvl="5" w:tplc="5A840FDC" w:tentative="1">
      <w:start w:val="1"/>
      <w:numFmt w:val="bullet"/>
      <w:lvlText w:val=""/>
      <w:lvlJc w:val="left"/>
      <w:pPr>
        <w:ind w:left="8280" w:hanging="360"/>
      </w:pPr>
      <w:rPr>
        <w:rFonts w:ascii="Wingdings" w:hAnsi="Wingdings" w:hint="default"/>
      </w:rPr>
    </w:lvl>
    <w:lvl w:ilvl="6" w:tplc="BFBAD228" w:tentative="1">
      <w:start w:val="1"/>
      <w:numFmt w:val="bullet"/>
      <w:lvlText w:val=""/>
      <w:lvlJc w:val="left"/>
      <w:pPr>
        <w:ind w:left="9000" w:hanging="360"/>
      </w:pPr>
      <w:rPr>
        <w:rFonts w:ascii="Symbol" w:hAnsi="Symbol" w:hint="default"/>
      </w:rPr>
    </w:lvl>
    <w:lvl w:ilvl="7" w:tplc="0026E9BE" w:tentative="1">
      <w:start w:val="1"/>
      <w:numFmt w:val="bullet"/>
      <w:lvlText w:val="o"/>
      <w:lvlJc w:val="left"/>
      <w:pPr>
        <w:ind w:left="9720" w:hanging="360"/>
      </w:pPr>
      <w:rPr>
        <w:rFonts w:ascii="Courier New" w:hAnsi="Courier New" w:hint="default"/>
      </w:rPr>
    </w:lvl>
    <w:lvl w:ilvl="8" w:tplc="A2760176" w:tentative="1">
      <w:start w:val="1"/>
      <w:numFmt w:val="bullet"/>
      <w:lvlText w:val=""/>
      <w:lvlJc w:val="left"/>
      <w:pPr>
        <w:ind w:left="10440" w:hanging="360"/>
      </w:pPr>
      <w:rPr>
        <w:rFonts w:ascii="Wingdings" w:hAnsi="Wingdings" w:hint="default"/>
      </w:rPr>
    </w:lvl>
  </w:abstractNum>
  <w:abstractNum w:abstractNumId="4" w15:restartNumberingAfterBreak="0">
    <w:nsid w:val="11B91D8A"/>
    <w:multiLevelType w:val="hybridMultilevel"/>
    <w:tmpl w:val="B38EF0E0"/>
    <w:lvl w:ilvl="0" w:tplc="129C4B6C">
      <w:start w:val="1"/>
      <w:numFmt w:val="bullet"/>
      <w:lvlText w:val=""/>
      <w:lvlJc w:val="left"/>
      <w:pPr>
        <w:ind w:left="720" w:hanging="360"/>
      </w:pPr>
      <w:rPr>
        <w:rFonts w:ascii="Symbol" w:hAnsi="Symbol" w:hint="default"/>
      </w:rPr>
    </w:lvl>
    <w:lvl w:ilvl="1" w:tplc="FC7A777A" w:tentative="1">
      <w:start w:val="1"/>
      <w:numFmt w:val="bullet"/>
      <w:lvlText w:val="o"/>
      <w:lvlJc w:val="left"/>
      <w:pPr>
        <w:ind w:left="1440" w:hanging="360"/>
      </w:pPr>
      <w:rPr>
        <w:rFonts w:ascii="Courier New" w:hAnsi="Courier New" w:cs="Courier New" w:hint="default"/>
      </w:rPr>
    </w:lvl>
    <w:lvl w:ilvl="2" w:tplc="0E3A132C" w:tentative="1">
      <w:start w:val="1"/>
      <w:numFmt w:val="bullet"/>
      <w:lvlText w:val=""/>
      <w:lvlJc w:val="left"/>
      <w:pPr>
        <w:ind w:left="2160" w:hanging="360"/>
      </w:pPr>
      <w:rPr>
        <w:rFonts w:ascii="Wingdings" w:hAnsi="Wingdings" w:hint="default"/>
      </w:rPr>
    </w:lvl>
    <w:lvl w:ilvl="3" w:tplc="E9EA7D9A" w:tentative="1">
      <w:start w:val="1"/>
      <w:numFmt w:val="bullet"/>
      <w:lvlText w:val=""/>
      <w:lvlJc w:val="left"/>
      <w:pPr>
        <w:ind w:left="2880" w:hanging="360"/>
      </w:pPr>
      <w:rPr>
        <w:rFonts w:ascii="Symbol" w:hAnsi="Symbol" w:hint="default"/>
      </w:rPr>
    </w:lvl>
    <w:lvl w:ilvl="4" w:tplc="0C00E0DA" w:tentative="1">
      <w:start w:val="1"/>
      <w:numFmt w:val="bullet"/>
      <w:lvlText w:val="o"/>
      <w:lvlJc w:val="left"/>
      <w:pPr>
        <w:ind w:left="3600" w:hanging="360"/>
      </w:pPr>
      <w:rPr>
        <w:rFonts w:ascii="Courier New" w:hAnsi="Courier New" w:cs="Courier New" w:hint="default"/>
      </w:rPr>
    </w:lvl>
    <w:lvl w:ilvl="5" w:tplc="9A2E42F0" w:tentative="1">
      <w:start w:val="1"/>
      <w:numFmt w:val="bullet"/>
      <w:lvlText w:val=""/>
      <w:lvlJc w:val="left"/>
      <w:pPr>
        <w:ind w:left="4320" w:hanging="360"/>
      </w:pPr>
      <w:rPr>
        <w:rFonts w:ascii="Wingdings" w:hAnsi="Wingdings" w:hint="default"/>
      </w:rPr>
    </w:lvl>
    <w:lvl w:ilvl="6" w:tplc="73C2583A" w:tentative="1">
      <w:start w:val="1"/>
      <w:numFmt w:val="bullet"/>
      <w:lvlText w:val=""/>
      <w:lvlJc w:val="left"/>
      <w:pPr>
        <w:ind w:left="5040" w:hanging="360"/>
      </w:pPr>
      <w:rPr>
        <w:rFonts w:ascii="Symbol" w:hAnsi="Symbol" w:hint="default"/>
      </w:rPr>
    </w:lvl>
    <w:lvl w:ilvl="7" w:tplc="43C677E2" w:tentative="1">
      <w:start w:val="1"/>
      <w:numFmt w:val="bullet"/>
      <w:lvlText w:val="o"/>
      <w:lvlJc w:val="left"/>
      <w:pPr>
        <w:ind w:left="5760" w:hanging="360"/>
      </w:pPr>
      <w:rPr>
        <w:rFonts w:ascii="Courier New" w:hAnsi="Courier New" w:cs="Courier New" w:hint="default"/>
      </w:rPr>
    </w:lvl>
    <w:lvl w:ilvl="8" w:tplc="838ACC06" w:tentative="1">
      <w:start w:val="1"/>
      <w:numFmt w:val="bullet"/>
      <w:lvlText w:val=""/>
      <w:lvlJc w:val="left"/>
      <w:pPr>
        <w:ind w:left="6480" w:hanging="360"/>
      </w:pPr>
      <w:rPr>
        <w:rFonts w:ascii="Wingdings" w:hAnsi="Wingdings" w:hint="default"/>
      </w:rPr>
    </w:lvl>
  </w:abstractNum>
  <w:abstractNum w:abstractNumId="5" w15:restartNumberingAfterBreak="0">
    <w:nsid w:val="12684C68"/>
    <w:multiLevelType w:val="hybridMultilevel"/>
    <w:tmpl w:val="CFBA8D3C"/>
    <w:lvl w:ilvl="0" w:tplc="3AB21DB0">
      <w:start w:val="1"/>
      <w:numFmt w:val="bullet"/>
      <w:lvlText w:val=""/>
      <w:lvlJc w:val="left"/>
      <w:pPr>
        <w:ind w:left="360" w:hanging="360"/>
      </w:pPr>
      <w:rPr>
        <w:rFonts w:ascii="Symbol" w:hAnsi="Symbol" w:hint="default"/>
      </w:rPr>
    </w:lvl>
    <w:lvl w:ilvl="1" w:tplc="593E123C" w:tentative="1">
      <w:start w:val="1"/>
      <w:numFmt w:val="bullet"/>
      <w:lvlText w:val="o"/>
      <w:lvlJc w:val="left"/>
      <w:pPr>
        <w:ind w:left="1080" w:hanging="360"/>
      </w:pPr>
      <w:rPr>
        <w:rFonts w:ascii="Courier New" w:hAnsi="Courier New" w:cs="Courier New" w:hint="default"/>
      </w:rPr>
    </w:lvl>
    <w:lvl w:ilvl="2" w:tplc="E1203588" w:tentative="1">
      <w:start w:val="1"/>
      <w:numFmt w:val="bullet"/>
      <w:lvlText w:val=""/>
      <w:lvlJc w:val="left"/>
      <w:pPr>
        <w:ind w:left="1800" w:hanging="360"/>
      </w:pPr>
      <w:rPr>
        <w:rFonts w:ascii="Wingdings" w:hAnsi="Wingdings" w:hint="default"/>
      </w:rPr>
    </w:lvl>
    <w:lvl w:ilvl="3" w:tplc="293E7F6A" w:tentative="1">
      <w:start w:val="1"/>
      <w:numFmt w:val="bullet"/>
      <w:lvlText w:val=""/>
      <w:lvlJc w:val="left"/>
      <w:pPr>
        <w:ind w:left="2520" w:hanging="360"/>
      </w:pPr>
      <w:rPr>
        <w:rFonts w:ascii="Symbol" w:hAnsi="Symbol" w:hint="default"/>
      </w:rPr>
    </w:lvl>
    <w:lvl w:ilvl="4" w:tplc="7C9830DC" w:tentative="1">
      <w:start w:val="1"/>
      <w:numFmt w:val="bullet"/>
      <w:lvlText w:val="o"/>
      <w:lvlJc w:val="left"/>
      <w:pPr>
        <w:ind w:left="3240" w:hanging="360"/>
      </w:pPr>
      <w:rPr>
        <w:rFonts w:ascii="Courier New" w:hAnsi="Courier New" w:cs="Courier New" w:hint="default"/>
      </w:rPr>
    </w:lvl>
    <w:lvl w:ilvl="5" w:tplc="E2A0B81A" w:tentative="1">
      <w:start w:val="1"/>
      <w:numFmt w:val="bullet"/>
      <w:lvlText w:val=""/>
      <w:lvlJc w:val="left"/>
      <w:pPr>
        <w:ind w:left="3960" w:hanging="360"/>
      </w:pPr>
      <w:rPr>
        <w:rFonts w:ascii="Wingdings" w:hAnsi="Wingdings" w:hint="default"/>
      </w:rPr>
    </w:lvl>
    <w:lvl w:ilvl="6" w:tplc="3A9AA816" w:tentative="1">
      <w:start w:val="1"/>
      <w:numFmt w:val="bullet"/>
      <w:lvlText w:val=""/>
      <w:lvlJc w:val="left"/>
      <w:pPr>
        <w:ind w:left="4680" w:hanging="360"/>
      </w:pPr>
      <w:rPr>
        <w:rFonts w:ascii="Symbol" w:hAnsi="Symbol" w:hint="default"/>
      </w:rPr>
    </w:lvl>
    <w:lvl w:ilvl="7" w:tplc="FB3CB5C4" w:tentative="1">
      <w:start w:val="1"/>
      <w:numFmt w:val="bullet"/>
      <w:lvlText w:val="o"/>
      <w:lvlJc w:val="left"/>
      <w:pPr>
        <w:ind w:left="5400" w:hanging="360"/>
      </w:pPr>
      <w:rPr>
        <w:rFonts w:ascii="Courier New" w:hAnsi="Courier New" w:cs="Courier New" w:hint="default"/>
      </w:rPr>
    </w:lvl>
    <w:lvl w:ilvl="8" w:tplc="AD563736" w:tentative="1">
      <w:start w:val="1"/>
      <w:numFmt w:val="bullet"/>
      <w:lvlText w:val=""/>
      <w:lvlJc w:val="left"/>
      <w:pPr>
        <w:ind w:left="6120" w:hanging="360"/>
      </w:pPr>
      <w:rPr>
        <w:rFonts w:ascii="Wingdings" w:hAnsi="Wingdings" w:hint="default"/>
      </w:rPr>
    </w:lvl>
  </w:abstractNum>
  <w:abstractNum w:abstractNumId="6" w15:restartNumberingAfterBreak="0">
    <w:nsid w:val="22DB51EA"/>
    <w:multiLevelType w:val="hybridMultilevel"/>
    <w:tmpl w:val="8FD438DC"/>
    <w:lvl w:ilvl="0" w:tplc="E0FEFD88">
      <w:start w:val="1"/>
      <w:numFmt w:val="bullet"/>
      <w:lvlText w:val=""/>
      <w:lvlJc w:val="left"/>
      <w:pPr>
        <w:ind w:left="720" w:hanging="360"/>
      </w:pPr>
      <w:rPr>
        <w:rFonts w:ascii="Symbol" w:hAnsi="Symbol" w:hint="default"/>
      </w:rPr>
    </w:lvl>
    <w:lvl w:ilvl="1" w:tplc="07D6EC26">
      <w:start w:val="1"/>
      <w:numFmt w:val="bullet"/>
      <w:lvlText w:val="o"/>
      <w:lvlJc w:val="left"/>
      <w:pPr>
        <w:ind w:left="1440" w:hanging="360"/>
      </w:pPr>
      <w:rPr>
        <w:rFonts w:ascii="Courier New" w:hAnsi="Courier New" w:cs="Courier New" w:hint="default"/>
      </w:rPr>
    </w:lvl>
    <w:lvl w:ilvl="2" w:tplc="320EBF7A" w:tentative="1">
      <w:start w:val="1"/>
      <w:numFmt w:val="bullet"/>
      <w:lvlText w:val=""/>
      <w:lvlJc w:val="left"/>
      <w:pPr>
        <w:ind w:left="2160" w:hanging="360"/>
      </w:pPr>
      <w:rPr>
        <w:rFonts w:ascii="Wingdings" w:hAnsi="Wingdings" w:hint="default"/>
      </w:rPr>
    </w:lvl>
    <w:lvl w:ilvl="3" w:tplc="3B5ED2FE" w:tentative="1">
      <w:start w:val="1"/>
      <w:numFmt w:val="bullet"/>
      <w:lvlText w:val=""/>
      <w:lvlJc w:val="left"/>
      <w:pPr>
        <w:ind w:left="2880" w:hanging="360"/>
      </w:pPr>
      <w:rPr>
        <w:rFonts w:ascii="Symbol" w:hAnsi="Symbol" w:hint="default"/>
      </w:rPr>
    </w:lvl>
    <w:lvl w:ilvl="4" w:tplc="1BF84FA2" w:tentative="1">
      <w:start w:val="1"/>
      <w:numFmt w:val="bullet"/>
      <w:lvlText w:val="o"/>
      <w:lvlJc w:val="left"/>
      <w:pPr>
        <w:ind w:left="3600" w:hanging="360"/>
      </w:pPr>
      <w:rPr>
        <w:rFonts w:ascii="Courier New" w:hAnsi="Courier New" w:cs="Courier New" w:hint="default"/>
      </w:rPr>
    </w:lvl>
    <w:lvl w:ilvl="5" w:tplc="63A4166A" w:tentative="1">
      <w:start w:val="1"/>
      <w:numFmt w:val="bullet"/>
      <w:lvlText w:val=""/>
      <w:lvlJc w:val="left"/>
      <w:pPr>
        <w:ind w:left="4320" w:hanging="360"/>
      </w:pPr>
      <w:rPr>
        <w:rFonts w:ascii="Wingdings" w:hAnsi="Wingdings" w:hint="default"/>
      </w:rPr>
    </w:lvl>
    <w:lvl w:ilvl="6" w:tplc="202240FE" w:tentative="1">
      <w:start w:val="1"/>
      <w:numFmt w:val="bullet"/>
      <w:lvlText w:val=""/>
      <w:lvlJc w:val="left"/>
      <w:pPr>
        <w:ind w:left="5040" w:hanging="360"/>
      </w:pPr>
      <w:rPr>
        <w:rFonts w:ascii="Symbol" w:hAnsi="Symbol" w:hint="default"/>
      </w:rPr>
    </w:lvl>
    <w:lvl w:ilvl="7" w:tplc="DE0AA876" w:tentative="1">
      <w:start w:val="1"/>
      <w:numFmt w:val="bullet"/>
      <w:lvlText w:val="o"/>
      <w:lvlJc w:val="left"/>
      <w:pPr>
        <w:ind w:left="5760" w:hanging="360"/>
      </w:pPr>
      <w:rPr>
        <w:rFonts w:ascii="Courier New" w:hAnsi="Courier New" w:cs="Courier New" w:hint="default"/>
      </w:rPr>
    </w:lvl>
    <w:lvl w:ilvl="8" w:tplc="691E2C1C" w:tentative="1">
      <w:start w:val="1"/>
      <w:numFmt w:val="bullet"/>
      <w:lvlText w:val=""/>
      <w:lvlJc w:val="left"/>
      <w:pPr>
        <w:ind w:left="6480" w:hanging="360"/>
      </w:pPr>
      <w:rPr>
        <w:rFonts w:ascii="Wingdings" w:hAnsi="Wingdings" w:hint="default"/>
      </w:rPr>
    </w:lvl>
  </w:abstractNum>
  <w:abstractNum w:abstractNumId="7" w15:restartNumberingAfterBreak="0">
    <w:nsid w:val="246C02E0"/>
    <w:multiLevelType w:val="hybridMultilevel"/>
    <w:tmpl w:val="D892E1B0"/>
    <w:lvl w:ilvl="0" w:tplc="4A947B7A">
      <w:start w:val="1"/>
      <w:numFmt w:val="decimal"/>
      <w:lvlText w:val="%1."/>
      <w:lvlJc w:val="left"/>
      <w:pPr>
        <w:ind w:left="720" w:hanging="360"/>
      </w:pPr>
    </w:lvl>
    <w:lvl w:ilvl="1" w:tplc="6E6EEAD8" w:tentative="1">
      <w:start w:val="1"/>
      <w:numFmt w:val="lowerLetter"/>
      <w:lvlText w:val="%2."/>
      <w:lvlJc w:val="left"/>
      <w:pPr>
        <w:ind w:left="1440" w:hanging="360"/>
      </w:pPr>
    </w:lvl>
    <w:lvl w:ilvl="2" w:tplc="F4CE4D60" w:tentative="1">
      <w:start w:val="1"/>
      <w:numFmt w:val="lowerRoman"/>
      <w:lvlText w:val="%3."/>
      <w:lvlJc w:val="right"/>
      <w:pPr>
        <w:ind w:left="2160" w:hanging="180"/>
      </w:pPr>
    </w:lvl>
    <w:lvl w:ilvl="3" w:tplc="ED80FBA8" w:tentative="1">
      <w:start w:val="1"/>
      <w:numFmt w:val="decimal"/>
      <w:lvlText w:val="%4."/>
      <w:lvlJc w:val="left"/>
      <w:pPr>
        <w:ind w:left="2880" w:hanging="360"/>
      </w:pPr>
    </w:lvl>
    <w:lvl w:ilvl="4" w:tplc="F168D848" w:tentative="1">
      <w:start w:val="1"/>
      <w:numFmt w:val="lowerLetter"/>
      <w:lvlText w:val="%5."/>
      <w:lvlJc w:val="left"/>
      <w:pPr>
        <w:ind w:left="3600" w:hanging="360"/>
      </w:pPr>
    </w:lvl>
    <w:lvl w:ilvl="5" w:tplc="D6F29256" w:tentative="1">
      <w:start w:val="1"/>
      <w:numFmt w:val="lowerRoman"/>
      <w:lvlText w:val="%6."/>
      <w:lvlJc w:val="right"/>
      <w:pPr>
        <w:ind w:left="4320" w:hanging="180"/>
      </w:pPr>
    </w:lvl>
    <w:lvl w:ilvl="6" w:tplc="97CC03FE" w:tentative="1">
      <w:start w:val="1"/>
      <w:numFmt w:val="decimal"/>
      <w:lvlText w:val="%7."/>
      <w:lvlJc w:val="left"/>
      <w:pPr>
        <w:ind w:left="5040" w:hanging="360"/>
      </w:pPr>
    </w:lvl>
    <w:lvl w:ilvl="7" w:tplc="96DE5D98" w:tentative="1">
      <w:start w:val="1"/>
      <w:numFmt w:val="lowerLetter"/>
      <w:lvlText w:val="%8."/>
      <w:lvlJc w:val="left"/>
      <w:pPr>
        <w:ind w:left="5760" w:hanging="360"/>
      </w:pPr>
    </w:lvl>
    <w:lvl w:ilvl="8" w:tplc="EC46C21A" w:tentative="1">
      <w:start w:val="1"/>
      <w:numFmt w:val="lowerRoman"/>
      <w:lvlText w:val="%9."/>
      <w:lvlJc w:val="right"/>
      <w:pPr>
        <w:ind w:left="6480" w:hanging="180"/>
      </w:pPr>
    </w:lvl>
  </w:abstractNum>
  <w:abstractNum w:abstractNumId="8" w15:restartNumberingAfterBreak="0">
    <w:nsid w:val="27732B96"/>
    <w:multiLevelType w:val="hybridMultilevel"/>
    <w:tmpl w:val="73D8C242"/>
    <w:lvl w:ilvl="0" w:tplc="AF64097A">
      <w:start w:val="1"/>
      <w:numFmt w:val="bullet"/>
      <w:lvlText w:val=""/>
      <w:lvlJc w:val="left"/>
      <w:pPr>
        <w:ind w:left="720" w:hanging="360"/>
      </w:pPr>
      <w:rPr>
        <w:rFonts w:ascii="Symbol" w:hAnsi="Symbol" w:hint="default"/>
      </w:rPr>
    </w:lvl>
    <w:lvl w:ilvl="1" w:tplc="C6703990">
      <w:start w:val="1"/>
      <w:numFmt w:val="bullet"/>
      <w:lvlText w:val="o"/>
      <w:lvlJc w:val="left"/>
      <w:pPr>
        <w:ind w:left="1440" w:hanging="360"/>
      </w:pPr>
      <w:rPr>
        <w:rFonts w:ascii="Courier New" w:hAnsi="Courier New" w:hint="default"/>
      </w:rPr>
    </w:lvl>
    <w:lvl w:ilvl="2" w:tplc="B1660644">
      <w:start w:val="1"/>
      <w:numFmt w:val="bullet"/>
      <w:lvlText w:val=""/>
      <w:lvlJc w:val="left"/>
      <w:pPr>
        <w:ind w:left="2160" w:hanging="360"/>
      </w:pPr>
      <w:rPr>
        <w:rFonts w:ascii="Wingdings" w:hAnsi="Wingdings" w:hint="default"/>
      </w:rPr>
    </w:lvl>
    <w:lvl w:ilvl="3" w:tplc="9F5CFFAC">
      <w:start w:val="1"/>
      <w:numFmt w:val="bullet"/>
      <w:lvlText w:val=""/>
      <w:lvlJc w:val="left"/>
      <w:pPr>
        <w:ind w:left="2880" w:hanging="360"/>
      </w:pPr>
      <w:rPr>
        <w:rFonts w:ascii="Symbol" w:hAnsi="Symbol" w:hint="default"/>
      </w:rPr>
    </w:lvl>
    <w:lvl w:ilvl="4" w:tplc="32B01882">
      <w:start w:val="1"/>
      <w:numFmt w:val="bullet"/>
      <w:lvlText w:val="o"/>
      <w:lvlJc w:val="left"/>
      <w:pPr>
        <w:ind w:left="3600" w:hanging="360"/>
      </w:pPr>
      <w:rPr>
        <w:rFonts w:ascii="Courier New" w:hAnsi="Courier New" w:hint="default"/>
      </w:rPr>
    </w:lvl>
    <w:lvl w:ilvl="5" w:tplc="A1780924">
      <w:start w:val="1"/>
      <w:numFmt w:val="bullet"/>
      <w:lvlText w:val=""/>
      <w:lvlJc w:val="left"/>
      <w:pPr>
        <w:ind w:left="4320" w:hanging="360"/>
      </w:pPr>
      <w:rPr>
        <w:rFonts w:ascii="Wingdings" w:hAnsi="Wingdings" w:hint="default"/>
      </w:rPr>
    </w:lvl>
    <w:lvl w:ilvl="6" w:tplc="EF96DD3A">
      <w:start w:val="1"/>
      <w:numFmt w:val="bullet"/>
      <w:lvlText w:val=""/>
      <w:lvlJc w:val="left"/>
      <w:pPr>
        <w:ind w:left="5040" w:hanging="360"/>
      </w:pPr>
      <w:rPr>
        <w:rFonts w:ascii="Symbol" w:hAnsi="Symbol" w:hint="default"/>
      </w:rPr>
    </w:lvl>
    <w:lvl w:ilvl="7" w:tplc="9490024A">
      <w:start w:val="1"/>
      <w:numFmt w:val="bullet"/>
      <w:lvlText w:val="o"/>
      <w:lvlJc w:val="left"/>
      <w:pPr>
        <w:ind w:left="5760" w:hanging="360"/>
      </w:pPr>
      <w:rPr>
        <w:rFonts w:ascii="Courier New" w:hAnsi="Courier New" w:hint="default"/>
      </w:rPr>
    </w:lvl>
    <w:lvl w:ilvl="8" w:tplc="51242D2A">
      <w:start w:val="1"/>
      <w:numFmt w:val="bullet"/>
      <w:lvlText w:val=""/>
      <w:lvlJc w:val="left"/>
      <w:pPr>
        <w:ind w:left="6480" w:hanging="360"/>
      </w:pPr>
      <w:rPr>
        <w:rFonts w:ascii="Wingdings" w:hAnsi="Wingdings" w:hint="default"/>
      </w:rPr>
    </w:lvl>
  </w:abstractNum>
  <w:abstractNum w:abstractNumId="9" w15:restartNumberingAfterBreak="0">
    <w:nsid w:val="2A6766D1"/>
    <w:multiLevelType w:val="hybridMultilevel"/>
    <w:tmpl w:val="FA38DA50"/>
    <w:lvl w:ilvl="0" w:tplc="100E441A">
      <w:start w:val="1"/>
      <w:numFmt w:val="bullet"/>
      <w:lvlText w:val=""/>
      <w:lvlJc w:val="left"/>
      <w:pPr>
        <w:ind w:left="360" w:hanging="360"/>
      </w:pPr>
      <w:rPr>
        <w:rFonts w:ascii="Symbol" w:hAnsi="Symbol" w:hint="default"/>
        <w:color w:val="auto"/>
      </w:rPr>
    </w:lvl>
    <w:lvl w:ilvl="1" w:tplc="27541902" w:tentative="1">
      <w:start w:val="1"/>
      <w:numFmt w:val="bullet"/>
      <w:lvlText w:val="o"/>
      <w:lvlJc w:val="left"/>
      <w:pPr>
        <w:ind w:left="1080" w:hanging="360"/>
      </w:pPr>
      <w:rPr>
        <w:rFonts w:ascii="Courier New" w:hAnsi="Courier New" w:cs="Courier New" w:hint="default"/>
      </w:rPr>
    </w:lvl>
    <w:lvl w:ilvl="2" w:tplc="D75EBFD0" w:tentative="1">
      <w:start w:val="1"/>
      <w:numFmt w:val="bullet"/>
      <w:lvlText w:val=""/>
      <w:lvlJc w:val="left"/>
      <w:pPr>
        <w:ind w:left="1800" w:hanging="360"/>
      </w:pPr>
      <w:rPr>
        <w:rFonts w:ascii="Wingdings" w:hAnsi="Wingdings" w:hint="default"/>
      </w:rPr>
    </w:lvl>
    <w:lvl w:ilvl="3" w:tplc="191A5388" w:tentative="1">
      <w:start w:val="1"/>
      <w:numFmt w:val="bullet"/>
      <w:lvlText w:val=""/>
      <w:lvlJc w:val="left"/>
      <w:pPr>
        <w:ind w:left="2520" w:hanging="360"/>
      </w:pPr>
      <w:rPr>
        <w:rFonts w:ascii="Symbol" w:hAnsi="Symbol" w:hint="default"/>
      </w:rPr>
    </w:lvl>
    <w:lvl w:ilvl="4" w:tplc="F9747902" w:tentative="1">
      <w:start w:val="1"/>
      <w:numFmt w:val="bullet"/>
      <w:lvlText w:val="o"/>
      <w:lvlJc w:val="left"/>
      <w:pPr>
        <w:ind w:left="3240" w:hanging="360"/>
      </w:pPr>
      <w:rPr>
        <w:rFonts w:ascii="Courier New" w:hAnsi="Courier New" w:cs="Courier New" w:hint="default"/>
      </w:rPr>
    </w:lvl>
    <w:lvl w:ilvl="5" w:tplc="B5805CEA" w:tentative="1">
      <w:start w:val="1"/>
      <w:numFmt w:val="bullet"/>
      <w:lvlText w:val=""/>
      <w:lvlJc w:val="left"/>
      <w:pPr>
        <w:ind w:left="3960" w:hanging="360"/>
      </w:pPr>
      <w:rPr>
        <w:rFonts w:ascii="Wingdings" w:hAnsi="Wingdings" w:hint="default"/>
      </w:rPr>
    </w:lvl>
    <w:lvl w:ilvl="6" w:tplc="1B8E8D3C" w:tentative="1">
      <w:start w:val="1"/>
      <w:numFmt w:val="bullet"/>
      <w:lvlText w:val=""/>
      <w:lvlJc w:val="left"/>
      <w:pPr>
        <w:ind w:left="4680" w:hanging="360"/>
      </w:pPr>
      <w:rPr>
        <w:rFonts w:ascii="Symbol" w:hAnsi="Symbol" w:hint="default"/>
      </w:rPr>
    </w:lvl>
    <w:lvl w:ilvl="7" w:tplc="BFB4DB80" w:tentative="1">
      <w:start w:val="1"/>
      <w:numFmt w:val="bullet"/>
      <w:lvlText w:val="o"/>
      <w:lvlJc w:val="left"/>
      <w:pPr>
        <w:ind w:left="5400" w:hanging="360"/>
      </w:pPr>
      <w:rPr>
        <w:rFonts w:ascii="Courier New" w:hAnsi="Courier New" w:cs="Courier New" w:hint="default"/>
      </w:rPr>
    </w:lvl>
    <w:lvl w:ilvl="8" w:tplc="71E24552" w:tentative="1">
      <w:start w:val="1"/>
      <w:numFmt w:val="bullet"/>
      <w:lvlText w:val=""/>
      <w:lvlJc w:val="left"/>
      <w:pPr>
        <w:ind w:left="6120" w:hanging="360"/>
      </w:pPr>
      <w:rPr>
        <w:rFonts w:ascii="Wingdings" w:hAnsi="Wingdings" w:hint="default"/>
      </w:rPr>
    </w:lvl>
  </w:abstractNum>
  <w:abstractNum w:abstractNumId="10" w15:restartNumberingAfterBreak="0">
    <w:nsid w:val="2DB95B1A"/>
    <w:multiLevelType w:val="hybridMultilevel"/>
    <w:tmpl w:val="64D6E744"/>
    <w:lvl w:ilvl="0" w:tplc="82BCE174">
      <w:start w:val="224"/>
      <w:numFmt w:val="bullet"/>
      <w:lvlText w:val=""/>
      <w:lvlJc w:val="left"/>
      <w:pPr>
        <w:ind w:left="720" w:hanging="360"/>
      </w:pPr>
      <w:rPr>
        <w:rFonts w:ascii="Symbol" w:hAnsi="Symbol" w:hint="default"/>
      </w:rPr>
    </w:lvl>
    <w:lvl w:ilvl="1" w:tplc="AD90EAA2" w:tentative="1">
      <w:start w:val="1"/>
      <w:numFmt w:val="bullet"/>
      <w:lvlText w:val="o"/>
      <w:lvlJc w:val="left"/>
      <w:pPr>
        <w:ind w:left="1440" w:hanging="360"/>
      </w:pPr>
      <w:rPr>
        <w:rFonts w:ascii="Courier New" w:hAnsi="Courier New" w:cs="Courier New" w:hint="default"/>
      </w:rPr>
    </w:lvl>
    <w:lvl w:ilvl="2" w:tplc="D5F0000A" w:tentative="1">
      <w:start w:val="1"/>
      <w:numFmt w:val="bullet"/>
      <w:lvlText w:val=""/>
      <w:lvlJc w:val="left"/>
      <w:pPr>
        <w:ind w:left="2160" w:hanging="360"/>
      </w:pPr>
      <w:rPr>
        <w:rFonts w:ascii="Wingdings" w:hAnsi="Wingdings" w:hint="default"/>
      </w:rPr>
    </w:lvl>
    <w:lvl w:ilvl="3" w:tplc="D814EE78" w:tentative="1">
      <w:start w:val="1"/>
      <w:numFmt w:val="bullet"/>
      <w:lvlText w:val=""/>
      <w:lvlJc w:val="left"/>
      <w:pPr>
        <w:ind w:left="2880" w:hanging="360"/>
      </w:pPr>
      <w:rPr>
        <w:rFonts w:ascii="Symbol" w:hAnsi="Symbol" w:hint="default"/>
      </w:rPr>
    </w:lvl>
    <w:lvl w:ilvl="4" w:tplc="280825A8" w:tentative="1">
      <w:start w:val="1"/>
      <w:numFmt w:val="bullet"/>
      <w:lvlText w:val="o"/>
      <w:lvlJc w:val="left"/>
      <w:pPr>
        <w:ind w:left="3600" w:hanging="360"/>
      </w:pPr>
      <w:rPr>
        <w:rFonts w:ascii="Courier New" w:hAnsi="Courier New" w:cs="Courier New" w:hint="default"/>
      </w:rPr>
    </w:lvl>
    <w:lvl w:ilvl="5" w:tplc="21226A00" w:tentative="1">
      <w:start w:val="1"/>
      <w:numFmt w:val="bullet"/>
      <w:lvlText w:val=""/>
      <w:lvlJc w:val="left"/>
      <w:pPr>
        <w:ind w:left="4320" w:hanging="360"/>
      </w:pPr>
      <w:rPr>
        <w:rFonts w:ascii="Wingdings" w:hAnsi="Wingdings" w:hint="default"/>
      </w:rPr>
    </w:lvl>
    <w:lvl w:ilvl="6" w:tplc="0F9E9038" w:tentative="1">
      <w:start w:val="1"/>
      <w:numFmt w:val="bullet"/>
      <w:lvlText w:val=""/>
      <w:lvlJc w:val="left"/>
      <w:pPr>
        <w:ind w:left="5040" w:hanging="360"/>
      </w:pPr>
      <w:rPr>
        <w:rFonts w:ascii="Symbol" w:hAnsi="Symbol" w:hint="default"/>
      </w:rPr>
    </w:lvl>
    <w:lvl w:ilvl="7" w:tplc="3E0E0194" w:tentative="1">
      <w:start w:val="1"/>
      <w:numFmt w:val="bullet"/>
      <w:lvlText w:val="o"/>
      <w:lvlJc w:val="left"/>
      <w:pPr>
        <w:ind w:left="5760" w:hanging="360"/>
      </w:pPr>
      <w:rPr>
        <w:rFonts w:ascii="Courier New" w:hAnsi="Courier New" w:cs="Courier New" w:hint="default"/>
      </w:rPr>
    </w:lvl>
    <w:lvl w:ilvl="8" w:tplc="CB66B2CC" w:tentative="1">
      <w:start w:val="1"/>
      <w:numFmt w:val="bullet"/>
      <w:lvlText w:val=""/>
      <w:lvlJc w:val="left"/>
      <w:pPr>
        <w:ind w:left="6480" w:hanging="360"/>
      </w:pPr>
      <w:rPr>
        <w:rFonts w:ascii="Wingdings" w:hAnsi="Wingdings" w:hint="default"/>
      </w:rPr>
    </w:lvl>
  </w:abstractNum>
  <w:abstractNum w:abstractNumId="11" w15:restartNumberingAfterBreak="0">
    <w:nsid w:val="2DCF2819"/>
    <w:multiLevelType w:val="hybridMultilevel"/>
    <w:tmpl w:val="0A9C7F3E"/>
    <w:lvl w:ilvl="0" w:tplc="348E984A">
      <w:start w:val="1"/>
      <w:numFmt w:val="bullet"/>
      <w:lvlText w:val=""/>
      <w:lvlJc w:val="left"/>
      <w:pPr>
        <w:ind w:left="720" w:hanging="360"/>
      </w:pPr>
      <w:rPr>
        <w:rFonts w:ascii="Symbol" w:hAnsi="Symbol" w:hint="default"/>
      </w:rPr>
    </w:lvl>
    <w:lvl w:ilvl="1" w:tplc="E81E6884" w:tentative="1">
      <w:start w:val="1"/>
      <w:numFmt w:val="bullet"/>
      <w:lvlText w:val="o"/>
      <w:lvlJc w:val="left"/>
      <w:pPr>
        <w:ind w:left="1440" w:hanging="360"/>
      </w:pPr>
      <w:rPr>
        <w:rFonts w:ascii="Courier New" w:hAnsi="Courier New" w:cs="Courier New" w:hint="default"/>
      </w:rPr>
    </w:lvl>
    <w:lvl w:ilvl="2" w:tplc="F90A7CB6" w:tentative="1">
      <w:start w:val="1"/>
      <w:numFmt w:val="bullet"/>
      <w:lvlText w:val=""/>
      <w:lvlJc w:val="left"/>
      <w:pPr>
        <w:ind w:left="2160" w:hanging="360"/>
      </w:pPr>
      <w:rPr>
        <w:rFonts w:ascii="Wingdings" w:hAnsi="Wingdings" w:hint="default"/>
      </w:rPr>
    </w:lvl>
    <w:lvl w:ilvl="3" w:tplc="E2382EC2" w:tentative="1">
      <w:start w:val="1"/>
      <w:numFmt w:val="bullet"/>
      <w:lvlText w:val=""/>
      <w:lvlJc w:val="left"/>
      <w:pPr>
        <w:ind w:left="2880" w:hanging="360"/>
      </w:pPr>
      <w:rPr>
        <w:rFonts w:ascii="Symbol" w:hAnsi="Symbol" w:hint="default"/>
      </w:rPr>
    </w:lvl>
    <w:lvl w:ilvl="4" w:tplc="1CE84308" w:tentative="1">
      <w:start w:val="1"/>
      <w:numFmt w:val="bullet"/>
      <w:lvlText w:val="o"/>
      <w:lvlJc w:val="left"/>
      <w:pPr>
        <w:ind w:left="3600" w:hanging="360"/>
      </w:pPr>
      <w:rPr>
        <w:rFonts w:ascii="Courier New" w:hAnsi="Courier New" w:cs="Courier New" w:hint="default"/>
      </w:rPr>
    </w:lvl>
    <w:lvl w:ilvl="5" w:tplc="189443CE" w:tentative="1">
      <w:start w:val="1"/>
      <w:numFmt w:val="bullet"/>
      <w:lvlText w:val=""/>
      <w:lvlJc w:val="left"/>
      <w:pPr>
        <w:ind w:left="4320" w:hanging="360"/>
      </w:pPr>
      <w:rPr>
        <w:rFonts w:ascii="Wingdings" w:hAnsi="Wingdings" w:hint="default"/>
      </w:rPr>
    </w:lvl>
    <w:lvl w:ilvl="6" w:tplc="873685B0" w:tentative="1">
      <w:start w:val="1"/>
      <w:numFmt w:val="bullet"/>
      <w:lvlText w:val=""/>
      <w:lvlJc w:val="left"/>
      <w:pPr>
        <w:ind w:left="5040" w:hanging="360"/>
      </w:pPr>
      <w:rPr>
        <w:rFonts w:ascii="Symbol" w:hAnsi="Symbol" w:hint="default"/>
      </w:rPr>
    </w:lvl>
    <w:lvl w:ilvl="7" w:tplc="3F62E908" w:tentative="1">
      <w:start w:val="1"/>
      <w:numFmt w:val="bullet"/>
      <w:lvlText w:val="o"/>
      <w:lvlJc w:val="left"/>
      <w:pPr>
        <w:ind w:left="5760" w:hanging="360"/>
      </w:pPr>
      <w:rPr>
        <w:rFonts w:ascii="Courier New" w:hAnsi="Courier New" w:cs="Courier New" w:hint="default"/>
      </w:rPr>
    </w:lvl>
    <w:lvl w:ilvl="8" w:tplc="60E6D6E0" w:tentative="1">
      <w:start w:val="1"/>
      <w:numFmt w:val="bullet"/>
      <w:lvlText w:val=""/>
      <w:lvlJc w:val="left"/>
      <w:pPr>
        <w:ind w:left="6480" w:hanging="360"/>
      </w:pPr>
      <w:rPr>
        <w:rFonts w:ascii="Wingdings" w:hAnsi="Wingdings" w:hint="default"/>
      </w:rPr>
    </w:lvl>
  </w:abstractNum>
  <w:abstractNum w:abstractNumId="12" w15:restartNumberingAfterBreak="0">
    <w:nsid w:val="321504DE"/>
    <w:multiLevelType w:val="hybridMultilevel"/>
    <w:tmpl w:val="ECF870B6"/>
    <w:lvl w:ilvl="0" w:tplc="DA0A39CC">
      <w:start w:val="1"/>
      <w:numFmt w:val="bullet"/>
      <w:lvlText w:val=""/>
      <w:lvlJc w:val="left"/>
      <w:pPr>
        <w:tabs>
          <w:tab w:val="num" w:pos="720"/>
        </w:tabs>
        <w:ind w:left="720" w:hanging="360"/>
      </w:pPr>
      <w:rPr>
        <w:rFonts w:ascii="Symbol" w:hAnsi="Symbol" w:hint="default"/>
      </w:rPr>
    </w:lvl>
    <w:lvl w:ilvl="1" w:tplc="BBA06A60" w:tentative="1">
      <w:start w:val="1"/>
      <w:numFmt w:val="bullet"/>
      <w:lvlText w:val="o"/>
      <w:lvlJc w:val="left"/>
      <w:pPr>
        <w:ind w:left="1440" w:hanging="360"/>
      </w:pPr>
      <w:rPr>
        <w:rFonts w:ascii="Courier New" w:hAnsi="Courier New" w:cs="Courier New" w:hint="default"/>
      </w:rPr>
    </w:lvl>
    <w:lvl w:ilvl="2" w:tplc="3D2C269E" w:tentative="1">
      <w:start w:val="1"/>
      <w:numFmt w:val="bullet"/>
      <w:lvlText w:val=""/>
      <w:lvlJc w:val="left"/>
      <w:pPr>
        <w:ind w:left="2160" w:hanging="360"/>
      </w:pPr>
      <w:rPr>
        <w:rFonts w:ascii="Wingdings" w:hAnsi="Wingdings" w:hint="default"/>
      </w:rPr>
    </w:lvl>
    <w:lvl w:ilvl="3" w:tplc="06D0BEB2" w:tentative="1">
      <w:start w:val="1"/>
      <w:numFmt w:val="bullet"/>
      <w:lvlText w:val=""/>
      <w:lvlJc w:val="left"/>
      <w:pPr>
        <w:ind w:left="2880" w:hanging="360"/>
      </w:pPr>
      <w:rPr>
        <w:rFonts w:ascii="Symbol" w:hAnsi="Symbol" w:hint="default"/>
      </w:rPr>
    </w:lvl>
    <w:lvl w:ilvl="4" w:tplc="6A1ADDB8" w:tentative="1">
      <w:start w:val="1"/>
      <w:numFmt w:val="bullet"/>
      <w:lvlText w:val="o"/>
      <w:lvlJc w:val="left"/>
      <w:pPr>
        <w:ind w:left="3600" w:hanging="360"/>
      </w:pPr>
      <w:rPr>
        <w:rFonts w:ascii="Courier New" w:hAnsi="Courier New" w:cs="Courier New" w:hint="default"/>
      </w:rPr>
    </w:lvl>
    <w:lvl w:ilvl="5" w:tplc="63C864C4" w:tentative="1">
      <w:start w:val="1"/>
      <w:numFmt w:val="bullet"/>
      <w:lvlText w:val=""/>
      <w:lvlJc w:val="left"/>
      <w:pPr>
        <w:ind w:left="4320" w:hanging="360"/>
      </w:pPr>
      <w:rPr>
        <w:rFonts w:ascii="Wingdings" w:hAnsi="Wingdings" w:hint="default"/>
      </w:rPr>
    </w:lvl>
    <w:lvl w:ilvl="6" w:tplc="2DF21952" w:tentative="1">
      <w:start w:val="1"/>
      <w:numFmt w:val="bullet"/>
      <w:lvlText w:val=""/>
      <w:lvlJc w:val="left"/>
      <w:pPr>
        <w:ind w:left="5040" w:hanging="360"/>
      </w:pPr>
      <w:rPr>
        <w:rFonts w:ascii="Symbol" w:hAnsi="Symbol" w:hint="default"/>
      </w:rPr>
    </w:lvl>
    <w:lvl w:ilvl="7" w:tplc="E65024D8" w:tentative="1">
      <w:start w:val="1"/>
      <w:numFmt w:val="bullet"/>
      <w:lvlText w:val="o"/>
      <w:lvlJc w:val="left"/>
      <w:pPr>
        <w:ind w:left="5760" w:hanging="360"/>
      </w:pPr>
      <w:rPr>
        <w:rFonts w:ascii="Courier New" w:hAnsi="Courier New" w:cs="Courier New" w:hint="default"/>
      </w:rPr>
    </w:lvl>
    <w:lvl w:ilvl="8" w:tplc="C8F627A8" w:tentative="1">
      <w:start w:val="1"/>
      <w:numFmt w:val="bullet"/>
      <w:lvlText w:val=""/>
      <w:lvlJc w:val="left"/>
      <w:pPr>
        <w:ind w:left="6480" w:hanging="360"/>
      </w:pPr>
      <w:rPr>
        <w:rFonts w:ascii="Wingdings" w:hAnsi="Wingdings" w:hint="default"/>
      </w:rPr>
    </w:lvl>
  </w:abstractNum>
  <w:abstractNum w:abstractNumId="13" w15:restartNumberingAfterBreak="0">
    <w:nsid w:val="355C3ED7"/>
    <w:multiLevelType w:val="hybridMultilevel"/>
    <w:tmpl w:val="38A0CBC4"/>
    <w:lvl w:ilvl="0" w:tplc="9F62E396">
      <w:start w:val="1"/>
      <w:numFmt w:val="bullet"/>
      <w:lvlText w:val=""/>
      <w:lvlJc w:val="left"/>
      <w:pPr>
        <w:ind w:left="720" w:hanging="360"/>
      </w:pPr>
      <w:rPr>
        <w:rFonts w:ascii="Symbol" w:hAnsi="Symbol" w:hint="default"/>
      </w:rPr>
    </w:lvl>
    <w:lvl w:ilvl="1" w:tplc="8558E16C">
      <w:start w:val="1"/>
      <w:numFmt w:val="bullet"/>
      <w:lvlText w:val="o"/>
      <w:lvlJc w:val="left"/>
      <w:pPr>
        <w:ind w:left="1440" w:hanging="360"/>
      </w:pPr>
      <w:rPr>
        <w:rFonts w:ascii="Courier New" w:hAnsi="Courier New" w:hint="default"/>
      </w:rPr>
    </w:lvl>
    <w:lvl w:ilvl="2" w:tplc="A60492EC">
      <w:start w:val="1"/>
      <w:numFmt w:val="bullet"/>
      <w:lvlText w:val=""/>
      <w:lvlJc w:val="left"/>
      <w:pPr>
        <w:ind w:left="2160" w:hanging="360"/>
      </w:pPr>
      <w:rPr>
        <w:rFonts w:ascii="Wingdings" w:hAnsi="Wingdings" w:hint="default"/>
      </w:rPr>
    </w:lvl>
    <w:lvl w:ilvl="3" w:tplc="0CDA62B8">
      <w:start w:val="1"/>
      <w:numFmt w:val="bullet"/>
      <w:lvlText w:val=""/>
      <w:lvlJc w:val="left"/>
      <w:pPr>
        <w:ind w:left="2880" w:hanging="360"/>
      </w:pPr>
      <w:rPr>
        <w:rFonts w:ascii="Symbol" w:hAnsi="Symbol" w:hint="default"/>
      </w:rPr>
    </w:lvl>
    <w:lvl w:ilvl="4" w:tplc="AFDAC9D8">
      <w:start w:val="1"/>
      <w:numFmt w:val="bullet"/>
      <w:lvlText w:val="o"/>
      <w:lvlJc w:val="left"/>
      <w:pPr>
        <w:ind w:left="3600" w:hanging="360"/>
      </w:pPr>
      <w:rPr>
        <w:rFonts w:ascii="Courier New" w:hAnsi="Courier New" w:hint="default"/>
      </w:rPr>
    </w:lvl>
    <w:lvl w:ilvl="5" w:tplc="02548EDE">
      <w:start w:val="1"/>
      <w:numFmt w:val="bullet"/>
      <w:lvlText w:val=""/>
      <w:lvlJc w:val="left"/>
      <w:pPr>
        <w:ind w:left="4320" w:hanging="360"/>
      </w:pPr>
      <w:rPr>
        <w:rFonts w:ascii="Wingdings" w:hAnsi="Wingdings" w:hint="default"/>
      </w:rPr>
    </w:lvl>
    <w:lvl w:ilvl="6" w:tplc="44FE49E4">
      <w:start w:val="1"/>
      <w:numFmt w:val="bullet"/>
      <w:lvlText w:val=""/>
      <w:lvlJc w:val="left"/>
      <w:pPr>
        <w:ind w:left="5040" w:hanging="360"/>
      </w:pPr>
      <w:rPr>
        <w:rFonts w:ascii="Symbol" w:hAnsi="Symbol" w:hint="default"/>
      </w:rPr>
    </w:lvl>
    <w:lvl w:ilvl="7" w:tplc="33A81504">
      <w:start w:val="1"/>
      <w:numFmt w:val="bullet"/>
      <w:lvlText w:val="o"/>
      <w:lvlJc w:val="left"/>
      <w:pPr>
        <w:ind w:left="5760" w:hanging="360"/>
      </w:pPr>
      <w:rPr>
        <w:rFonts w:ascii="Courier New" w:hAnsi="Courier New" w:hint="default"/>
      </w:rPr>
    </w:lvl>
    <w:lvl w:ilvl="8" w:tplc="A7D88CBA">
      <w:start w:val="1"/>
      <w:numFmt w:val="bullet"/>
      <w:lvlText w:val=""/>
      <w:lvlJc w:val="left"/>
      <w:pPr>
        <w:ind w:left="6480" w:hanging="360"/>
      </w:pPr>
      <w:rPr>
        <w:rFonts w:ascii="Wingdings" w:hAnsi="Wingdings" w:hint="default"/>
      </w:rPr>
    </w:lvl>
  </w:abstractNum>
  <w:abstractNum w:abstractNumId="14" w15:restartNumberingAfterBreak="0">
    <w:nsid w:val="3937E153"/>
    <w:multiLevelType w:val="hybridMultilevel"/>
    <w:tmpl w:val="FFFFFFFF"/>
    <w:lvl w:ilvl="0" w:tplc="6E821252">
      <w:start w:val="1"/>
      <w:numFmt w:val="bullet"/>
      <w:lvlText w:val=""/>
      <w:lvlJc w:val="left"/>
      <w:pPr>
        <w:ind w:left="1331" w:hanging="360"/>
      </w:pPr>
      <w:rPr>
        <w:rFonts w:ascii="Symbol" w:hAnsi="Symbol" w:hint="default"/>
      </w:rPr>
    </w:lvl>
    <w:lvl w:ilvl="1" w:tplc="55E0F6EC">
      <w:start w:val="1"/>
      <w:numFmt w:val="bullet"/>
      <w:lvlText w:val="o"/>
      <w:lvlJc w:val="left"/>
      <w:pPr>
        <w:ind w:left="1440" w:hanging="360"/>
      </w:pPr>
      <w:rPr>
        <w:rFonts w:ascii="Courier New" w:hAnsi="Courier New" w:hint="default"/>
      </w:rPr>
    </w:lvl>
    <w:lvl w:ilvl="2" w:tplc="6A1AC8C4">
      <w:start w:val="1"/>
      <w:numFmt w:val="bullet"/>
      <w:lvlText w:val=""/>
      <w:lvlJc w:val="left"/>
      <w:pPr>
        <w:ind w:left="2160" w:hanging="360"/>
      </w:pPr>
      <w:rPr>
        <w:rFonts w:ascii="Wingdings" w:hAnsi="Wingdings" w:hint="default"/>
      </w:rPr>
    </w:lvl>
    <w:lvl w:ilvl="3" w:tplc="96FA9584">
      <w:start w:val="1"/>
      <w:numFmt w:val="bullet"/>
      <w:lvlText w:val=""/>
      <w:lvlJc w:val="left"/>
      <w:pPr>
        <w:ind w:left="2880" w:hanging="360"/>
      </w:pPr>
      <w:rPr>
        <w:rFonts w:ascii="Symbol" w:hAnsi="Symbol" w:hint="default"/>
      </w:rPr>
    </w:lvl>
    <w:lvl w:ilvl="4" w:tplc="61788C84">
      <w:start w:val="1"/>
      <w:numFmt w:val="bullet"/>
      <w:lvlText w:val="o"/>
      <w:lvlJc w:val="left"/>
      <w:pPr>
        <w:ind w:left="3600" w:hanging="360"/>
      </w:pPr>
      <w:rPr>
        <w:rFonts w:ascii="Courier New" w:hAnsi="Courier New" w:hint="default"/>
      </w:rPr>
    </w:lvl>
    <w:lvl w:ilvl="5" w:tplc="0A723292">
      <w:start w:val="1"/>
      <w:numFmt w:val="bullet"/>
      <w:lvlText w:val=""/>
      <w:lvlJc w:val="left"/>
      <w:pPr>
        <w:ind w:left="4320" w:hanging="360"/>
      </w:pPr>
      <w:rPr>
        <w:rFonts w:ascii="Wingdings" w:hAnsi="Wingdings" w:hint="default"/>
      </w:rPr>
    </w:lvl>
    <w:lvl w:ilvl="6" w:tplc="5D7A9FDA">
      <w:start w:val="1"/>
      <w:numFmt w:val="bullet"/>
      <w:lvlText w:val=""/>
      <w:lvlJc w:val="left"/>
      <w:pPr>
        <w:ind w:left="5040" w:hanging="360"/>
      </w:pPr>
      <w:rPr>
        <w:rFonts w:ascii="Symbol" w:hAnsi="Symbol" w:hint="default"/>
      </w:rPr>
    </w:lvl>
    <w:lvl w:ilvl="7" w:tplc="09101EAC">
      <w:start w:val="1"/>
      <w:numFmt w:val="bullet"/>
      <w:lvlText w:val="o"/>
      <w:lvlJc w:val="left"/>
      <w:pPr>
        <w:ind w:left="5760" w:hanging="360"/>
      </w:pPr>
      <w:rPr>
        <w:rFonts w:ascii="Courier New" w:hAnsi="Courier New" w:hint="default"/>
      </w:rPr>
    </w:lvl>
    <w:lvl w:ilvl="8" w:tplc="2C4E1906">
      <w:start w:val="1"/>
      <w:numFmt w:val="bullet"/>
      <w:lvlText w:val=""/>
      <w:lvlJc w:val="left"/>
      <w:pPr>
        <w:ind w:left="6480" w:hanging="360"/>
      </w:pPr>
      <w:rPr>
        <w:rFonts w:ascii="Wingdings" w:hAnsi="Wingdings" w:hint="default"/>
      </w:rPr>
    </w:lvl>
  </w:abstractNum>
  <w:abstractNum w:abstractNumId="15" w15:restartNumberingAfterBreak="0">
    <w:nsid w:val="3EEEFBDE"/>
    <w:multiLevelType w:val="hybridMultilevel"/>
    <w:tmpl w:val="E3467D30"/>
    <w:lvl w:ilvl="0" w:tplc="3904C7F2">
      <w:start w:val="1"/>
      <w:numFmt w:val="decimal"/>
      <w:lvlText w:val="%1."/>
      <w:lvlJc w:val="left"/>
      <w:pPr>
        <w:ind w:left="720" w:hanging="360"/>
      </w:pPr>
    </w:lvl>
    <w:lvl w:ilvl="1" w:tplc="0618205C">
      <w:start w:val="1"/>
      <w:numFmt w:val="lowerLetter"/>
      <w:lvlText w:val="%2."/>
      <w:lvlJc w:val="left"/>
      <w:pPr>
        <w:ind w:left="1440" w:hanging="360"/>
      </w:pPr>
    </w:lvl>
    <w:lvl w:ilvl="2" w:tplc="D12E7684">
      <w:start w:val="1"/>
      <w:numFmt w:val="lowerRoman"/>
      <w:lvlText w:val="%3."/>
      <w:lvlJc w:val="right"/>
      <w:pPr>
        <w:ind w:left="2160" w:hanging="180"/>
      </w:pPr>
    </w:lvl>
    <w:lvl w:ilvl="3" w:tplc="21F4EED6">
      <w:start w:val="1"/>
      <w:numFmt w:val="decimal"/>
      <w:lvlText w:val="%4."/>
      <w:lvlJc w:val="left"/>
      <w:pPr>
        <w:ind w:left="2880" w:hanging="360"/>
      </w:pPr>
    </w:lvl>
    <w:lvl w:ilvl="4" w:tplc="17160E34">
      <w:start w:val="1"/>
      <w:numFmt w:val="lowerLetter"/>
      <w:lvlText w:val="%5."/>
      <w:lvlJc w:val="left"/>
      <w:pPr>
        <w:ind w:left="3600" w:hanging="360"/>
      </w:pPr>
    </w:lvl>
    <w:lvl w:ilvl="5" w:tplc="2766EE36">
      <w:start w:val="1"/>
      <w:numFmt w:val="lowerRoman"/>
      <w:lvlText w:val="%6."/>
      <w:lvlJc w:val="right"/>
      <w:pPr>
        <w:ind w:left="4320" w:hanging="180"/>
      </w:pPr>
    </w:lvl>
    <w:lvl w:ilvl="6" w:tplc="2C901B80">
      <w:start w:val="1"/>
      <w:numFmt w:val="decimal"/>
      <w:lvlText w:val="%7."/>
      <w:lvlJc w:val="left"/>
      <w:pPr>
        <w:ind w:left="5040" w:hanging="360"/>
      </w:pPr>
    </w:lvl>
    <w:lvl w:ilvl="7" w:tplc="57720C38">
      <w:start w:val="1"/>
      <w:numFmt w:val="lowerLetter"/>
      <w:lvlText w:val="%8."/>
      <w:lvlJc w:val="left"/>
      <w:pPr>
        <w:ind w:left="5760" w:hanging="360"/>
      </w:pPr>
    </w:lvl>
    <w:lvl w:ilvl="8" w:tplc="44F00354">
      <w:start w:val="1"/>
      <w:numFmt w:val="lowerRoman"/>
      <w:lvlText w:val="%9."/>
      <w:lvlJc w:val="right"/>
      <w:pPr>
        <w:ind w:left="6480" w:hanging="180"/>
      </w:pPr>
    </w:lvl>
  </w:abstractNum>
  <w:abstractNum w:abstractNumId="16" w15:restartNumberingAfterBreak="0">
    <w:nsid w:val="44E25B2A"/>
    <w:multiLevelType w:val="hybridMultilevel"/>
    <w:tmpl w:val="246C9AFC"/>
    <w:lvl w:ilvl="0" w:tplc="C29C7B10">
      <w:start w:val="1"/>
      <w:numFmt w:val="bullet"/>
      <w:lvlText w:val=""/>
      <w:lvlJc w:val="left"/>
      <w:pPr>
        <w:ind w:left="720" w:hanging="360"/>
      </w:pPr>
      <w:rPr>
        <w:rFonts w:ascii="Symbol" w:hAnsi="Symbol" w:hint="default"/>
      </w:rPr>
    </w:lvl>
    <w:lvl w:ilvl="1" w:tplc="905ECCE4" w:tentative="1">
      <w:start w:val="1"/>
      <w:numFmt w:val="bullet"/>
      <w:lvlText w:val="o"/>
      <w:lvlJc w:val="left"/>
      <w:pPr>
        <w:ind w:left="1440" w:hanging="360"/>
      </w:pPr>
      <w:rPr>
        <w:rFonts w:ascii="Courier New" w:hAnsi="Courier New" w:cs="Courier New" w:hint="default"/>
      </w:rPr>
    </w:lvl>
    <w:lvl w:ilvl="2" w:tplc="06A68EA8" w:tentative="1">
      <w:start w:val="1"/>
      <w:numFmt w:val="bullet"/>
      <w:lvlText w:val=""/>
      <w:lvlJc w:val="left"/>
      <w:pPr>
        <w:ind w:left="2160" w:hanging="360"/>
      </w:pPr>
      <w:rPr>
        <w:rFonts w:ascii="Wingdings" w:hAnsi="Wingdings" w:hint="default"/>
      </w:rPr>
    </w:lvl>
    <w:lvl w:ilvl="3" w:tplc="56E296D0" w:tentative="1">
      <w:start w:val="1"/>
      <w:numFmt w:val="bullet"/>
      <w:lvlText w:val=""/>
      <w:lvlJc w:val="left"/>
      <w:pPr>
        <w:ind w:left="2880" w:hanging="360"/>
      </w:pPr>
      <w:rPr>
        <w:rFonts w:ascii="Symbol" w:hAnsi="Symbol" w:hint="default"/>
      </w:rPr>
    </w:lvl>
    <w:lvl w:ilvl="4" w:tplc="335239EA" w:tentative="1">
      <w:start w:val="1"/>
      <w:numFmt w:val="bullet"/>
      <w:lvlText w:val="o"/>
      <w:lvlJc w:val="left"/>
      <w:pPr>
        <w:ind w:left="3600" w:hanging="360"/>
      </w:pPr>
      <w:rPr>
        <w:rFonts w:ascii="Courier New" w:hAnsi="Courier New" w:cs="Courier New" w:hint="default"/>
      </w:rPr>
    </w:lvl>
    <w:lvl w:ilvl="5" w:tplc="0FD80CD4" w:tentative="1">
      <w:start w:val="1"/>
      <w:numFmt w:val="bullet"/>
      <w:lvlText w:val=""/>
      <w:lvlJc w:val="left"/>
      <w:pPr>
        <w:ind w:left="4320" w:hanging="360"/>
      </w:pPr>
      <w:rPr>
        <w:rFonts w:ascii="Wingdings" w:hAnsi="Wingdings" w:hint="default"/>
      </w:rPr>
    </w:lvl>
    <w:lvl w:ilvl="6" w:tplc="611E386C" w:tentative="1">
      <w:start w:val="1"/>
      <w:numFmt w:val="bullet"/>
      <w:lvlText w:val=""/>
      <w:lvlJc w:val="left"/>
      <w:pPr>
        <w:ind w:left="5040" w:hanging="360"/>
      </w:pPr>
      <w:rPr>
        <w:rFonts w:ascii="Symbol" w:hAnsi="Symbol" w:hint="default"/>
      </w:rPr>
    </w:lvl>
    <w:lvl w:ilvl="7" w:tplc="0A689E62" w:tentative="1">
      <w:start w:val="1"/>
      <w:numFmt w:val="bullet"/>
      <w:lvlText w:val="o"/>
      <w:lvlJc w:val="left"/>
      <w:pPr>
        <w:ind w:left="5760" w:hanging="360"/>
      </w:pPr>
      <w:rPr>
        <w:rFonts w:ascii="Courier New" w:hAnsi="Courier New" w:cs="Courier New" w:hint="default"/>
      </w:rPr>
    </w:lvl>
    <w:lvl w:ilvl="8" w:tplc="C4C0A5AC" w:tentative="1">
      <w:start w:val="1"/>
      <w:numFmt w:val="bullet"/>
      <w:lvlText w:val=""/>
      <w:lvlJc w:val="left"/>
      <w:pPr>
        <w:ind w:left="6480" w:hanging="360"/>
      </w:pPr>
      <w:rPr>
        <w:rFonts w:ascii="Wingdings" w:hAnsi="Wingdings" w:hint="default"/>
      </w:rPr>
    </w:lvl>
  </w:abstractNum>
  <w:abstractNum w:abstractNumId="17" w15:restartNumberingAfterBreak="0">
    <w:nsid w:val="4820C4BC"/>
    <w:multiLevelType w:val="hybridMultilevel"/>
    <w:tmpl w:val="FFFFFFFF"/>
    <w:lvl w:ilvl="0" w:tplc="3ACAE646">
      <w:start w:val="1"/>
      <w:numFmt w:val="bullet"/>
      <w:lvlText w:val=""/>
      <w:lvlJc w:val="left"/>
      <w:pPr>
        <w:ind w:left="1331" w:hanging="360"/>
      </w:pPr>
      <w:rPr>
        <w:rFonts w:ascii="Symbol" w:hAnsi="Symbol" w:hint="default"/>
      </w:rPr>
    </w:lvl>
    <w:lvl w:ilvl="1" w:tplc="C9B23D26">
      <w:start w:val="1"/>
      <w:numFmt w:val="bullet"/>
      <w:lvlText w:val="o"/>
      <w:lvlJc w:val="left"/>
      <w:pPr>
        <w:ind w:left="1440" w:hanging="360"/>
      </w:pPr>
      <w:rPr>
        <w:rFonts w:ascii="Courier New" w:hAnsi="Courier New" w:hint="default"/>
      </w:rPr>
    </w:lvl>
    <w:lvl w:ilvl="2" w:tplc="33129182">
      <w:start w:val="1"/>
      <w:numFmt w:val="bullet"/>
      <w:lvlText w:val=""/>
      <w:lvlJc w:val="left"/>
      <w:pPr>
        <w:ind w:left="2160" w:hanging="360"/>
      </w:pPr>
      <w:rPr>
        <w:rFonts w:ascii="Wingdings" w:hAnsi="Wingdings" w:hint="default"/>
      </w:rPr>
    </w:lvl>
    <w:lvl w:ilvl="3" w:tplc="93E8ABA0">
      <w:start w:val="1"/>
      <w:numFmt w:val="bullet"/>
      <w:lvlText w:val=""/>
      <w:lvlJc w:val="left"/>
      <w:pPr>
        <w:ind w:left="2880" w:hanging="360"/>
      </w:pPr>
      <w:rPr>
        <w:rFonts w:ascii="Symbol" w:hAnsi="Symbol" w:hint="default"/>
      </w:rPr>
    </w:lvl>
    <w:lvl w:ilvl="4" w:tplc="BDD41686">
      <w:start w:val="1"/>
      <w:numFmt w:val="bullet"/>
      <w:lvlText w:val="o"/>
      <w:lvlJc w:val="left"/>
      <w:pPr>
        <w:ind w:left="3600" w:hanging="360"/>
      </w:pPr>
      <w:rPr>
        <w:rFonts w:ascii="Courier New" w:hAnsi="Courier New" w:hint="default"/>
      </w:rPr>
    </w:lvl>
    <w:lvl w:ilvl="5" w:tplc="5BD8ED1A">
      <w:start w:val="1"/>
      <w:numFmt w:val="bullet"/>
      <w:lvlText w:val=""/>
      <w:lvlJc w:val="left"/>
      <w:pPr>
        <w:ind w:left="4320" w:hanging="360"/>
      </w:pPr>
      <w:rPr>
        <w:rFonts w:ascii="Wingdings" w:hAnsi="Wingdings" w:hint="default"/>
      </w:rPr>
    </w:lvl>
    <w:lvl w:ilvl="6" w:tplc="A0568F46">
      <w:start w:val="1"/>
      <w:numFmt w:val="bullet"/>
      <w:lvlText w:val=""/>
      <w:lvlJc w:val="left"/>
      <w:pPr>
        <w:ind w:left="5040" w:hanging="360"/>
      </w:pPr>
      <w:rPr>
        <w:rFonts w:ascii="Symbol" w:hAnsi="Symbol" w:hint="default"/>
      </w:rPr>
    </w:lvl>
    <w:lvl w:ilvl="7" w:tplc="DFE87818">
      <w:start w:val="1"/>
      <w:numFmt w:val="bullet"/>
      <w:lvlText w:val="o"/>
      <w:lvlJc w:val="left"/>
      <w:pPr>
        <w:ind w:left="5760" w:hanging="360"/>
      </w:pPr>
      <w:rPr>
        <w:rFonts w:ascii="Courier New" w:hAnsi="Courier New" w:hint="default"/>
      </w:rPr>
    </w:lvl>
    <w:lvl w:ilvl="8" w:tplc="C812012E">
      <w:start w:val="1"/>
      <w:numFmt w:val="bullet"/>
      <w:lvlText w:val=""/>
      <w:lvlJc w:val="left"/>
      <w:pPr>
        <w:ind w:left="6480" w:hanging="360"/>
      </w:pPr>
      <w:rPr>
        <w:rFonts w:ascii="Wingdings" w:hAnsi="Wingdings" w:hint="default"/>
      </w:rPr>
    </w:lvl>
  </w:abstractNum>
  <w:abstractNum w:abstractNumId="18" w15:restartNumberingAfterBreak="0">
    <w:nsid w:val="4DBD011B"/>
    <w:multiLevelType w:val="multilevel"/>
    <w:tmpl w:val="39D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B2F45"/>
    <w:multiLevelType w:val="hybridMultilevel"/>
    <w:tmpl w:val="B322CB86"/>
    <w:lvl w:ilvl="0" w:tplc="4F8E7488">
      <w:start w:val="1"/>
      <w:numFmt w:val="bullet"/>
      <w:lvlText w:val=""/>
      <w:lvlJc w:val="left"/>
      <w:pPr>
        <w:ind w:left="720" w:hanging="360"/>
      </w:pPr>
      <w:rPr>
        <w:rFonts w:ascii="Symbol" w:hAnsi="Symbol" w:hint="default"/>
      </w:rPr>
    </w:lvl>
    <w:lvl w:ilvl="1" w:tplc="F1B68D90">
      <w:start w:val="1"/>
      <w:numFmt w:val="bullet"/>
      <w:lvlText w:val="o"/>
      <w:lvlJc w:val="left"/>
      <w:pPr>
        <w:ind w:left="1440" w:hanging="360"/>
      </w:pPr>
      <w:rPr>
        <w:rFonts w:ascii="Courier New" w:hAnsi="Courier New" w:cs="Courier New" w:hint="default"/>
      </w:rPr>
    </w:lvl>
    <w:lvl w:ilvl="2" w:tplc="37982E52" w:tentative="1">
      <w:start w:val="1"/>
      <w:numFmt w:val="bullet"/>
      <w:lvlText w:val=""/>
      <w:lvlJc w:val="left"/>
      <w:pPr>
        <w:ind w:left="2160" w:hanging="360"/>
      </w:pPr>
      <w:rPr>
        <w:rFonts w:ascii="Wingdings" w:hAnsi="Wingdings" w:hint="default"/>
      </w:rPr>
    </w:lvl>
    <w:lvl w:ilvl="3" w:tplc="80B64706" w:tentative="1">
      <w:start w:val="1"/>
      <w:numFmt w:val="bullet"/>
      <w:lvlText w:val=""/>
      <w:lvlJc w:val="left"/>
      <w:pPr>
        <w:ind w:left="2880" w:hanging="360"/>
      </w:pPr>
      <w:rPr>
        <w:rFonts w:ascii="Symbol" w:hAnsi="Symbol" w:hint="default"/>
      </w:rPr>
    </w:lvl>
    <w:lvl w:ilvl="4" w:tplc="000E777E" w:tentative="1">
      <w:start w:val="1"/>
      <w:numFmt w:val="bullet"/>
      <w:lvlText w:val="o"/>
      <w:lvlJc w:val="left"/>
      <w:pPr>
        <w:ind w:left="3600" w:hanging="360"/>
      </w:pPr>
      <w:rPr>
        <w:rFonts w:ascii="Courier New" w:hAnsi="Courier New" w:cs="Courier New" w:hint="default"/>
      </w:rPr>
    </w:lvl>
    <w:lvl w:ilvl="5" w:tplc="7EFCFFC2" w:tentative="1">
      <w:start w:val="1"/>
      <w:numFmt w:val="bullet"/>
      <w:lvlText w:val=""/>
      <w:lvlJc w:val="left"/>
      <w:pPr>
        <w:ind w:left="4320" w:hanging="360"/>
      </w:pPr>
      <w:rPr>
        <w:rFonts w:ascii="Wingdings" w:hAnsi="Wingdings" w:hint="default"/>
      </w:rPr>
    </w:lvl>
    <w:lvl w:ilvl="6" w:tplc="38A0D3F2" w:tentative="1">
      <w:start w:val="1"/>
      <w:numFmt w:val="bullet"/>
      <w:lvlText w:val=""/>
      <w:lvlJc w:val="left"/>
      <w:pPr>
        <w:ind w:left="5040" w:hanging="360"/>
      </w:pPr>
      <w:rPr>
        <w:rFonts w:ascii="Symbol" w:hAnsi="Symbol" w:hint="default"/>
      </w:rPr>
    </w:lvl>
    <w:lvl w:ilvl="7" w:tplc="6598F900" w:tentative="1">
      <w:start w:val="1"/>
      <w:numFmt w:val="bullet"/>
      <w:lvlText w:val="o"/>
      <w:lvlJc w:val="left"/>
      <w:pPr>
        <w:ind w:left="5760" w:hanging="360"/>
      </w:pPr>
      <w:rPr>
        <w:rFonts w:ascii="Courier New" w:hAnsi="Courier New" w:cs="Courier New" w:hint="default"/>
      </w:rPr>
    </w:lvl>
    <w:lvl w:ilvl="8" w:tplc="F96C2BCA" w:tentative="1">
      <w:start w:val="1"/>
      <w:numFmt w:val="bullet"/>
      <w:lvlText w:val=""/>
      <w:lvlJc w:val="left"/>
      <w:pPr>
        <w:ind w:left="6480" w:hanging="360"/>
      </w:pPr>
      <w:rPr>
        <w:rFonts w:ascii="Wingdings" w:hAnsi="Wingdings" w:hint="default"/>
      </w:rPr>
    </w:lvl>
  </w:abstractNum>
  <w:abstractNum w:abstractNumId="20" w15:restartNumberingAfterBreak="0">
    <w:nsid w:val="611B16DB"/>
    <w:multiLevelType w:val="hybridMultilevel"/>
    <w:tmpl w:val="19205746"/>
    <w:lvl w:ilvl="0" w:tplc="1D7A37A0">
      <w:start w:val="1"/>
      <w:numFmt w:val="bullet"/>
      <w:lvlText w:val=""/>
      <w:lvlJc w:val="left"/>
      <w:pPr>
        <w:ind w:left="720" w:hanging="360"/>
      </w:pPr>
      <w:rPr>
        <w:rFonts w:ascii="Symbol" w:hAnsi="Symbol" w:hint="default"/>
      </w:rPr>
    </w:lvl>
    <w:lvl w:ilvl="1" w:tplc="44C4848A" w:tentative="1">
      <w:start w:val="1"/>
      <w:numFmt w:val="bullet"/>
      <w:lvlText w:val="o"/>
      <w:lvlJc w:val="left"/>
      <w:pPr>
        <w:ind w:left="1440" w:hanging="360"/>
      </w:pPr>
      <w:rPr>
        <w:rFonts w:ascii="Courier New" w:hAnsi="Courier New" w:cs="Courier New" w:hint="default"/>
      </w:rPr>
    </w:lvl>
    <w:lvl w:ilvl="2" w:tplc="38406522" w:tentative="1">
      <w:start w:val="1"/>
      <w:numFmt w:val="bullet"/>
      <w:lvlText w:val=""/>
      <w:lvlJc w:val="left"/>
      <w:pPr>
        <w:ind w:left="2160" w:hanging="360"/>
      </w:pPr>
      <w:rPr>
        <w:rFonts w:ascii="Wingdings" w:hAnsi="Wingdings" w:hint="default"/>
      </w:rPr>
    </w:lvl>
    <w:lvl w:ilvl="3" w:tplc="34D09346" w:tentative="1">
      <w:start w:val="1"/>
      <w:numFmt w:val="bullet"/>
      <w:lvlText w:val=""/>
      <w:lvlJc w:val="left"/>
      <w:pPr>
        <w:ind w:left="2880" w:hanging="360"/>
      </w:pPr>
      <w:rPr>
        <w:rFonts w:ascii="Symbol" w:hAnsi="Symbol" w:hint="default"/>
      </w:rPr>
    </w:lvl>
    <w:lvl w:ilvl="4" w:tplc="6C882856" w:tentative="1">
      <w:start w:val="1"/>
      <w:numFmt w:val="bullet"/>
      <w:lvlText w:val="o"/>
      <w:lvlJc w:val="left"/>
      <w:pPr>
        <w:ind w:left="3600" w:hanging="360"/>
      </w:pPr>
      <w:rPr>
        <w:rFonts w:ascii="Courier New" w:hAnsi="Courier New" w:cs="Courier New" w:hint="default"/>
      </w:rPr>
    </w:lvl>
    <w:lvl w:ilvl="5" w:tplc="AD705330" w:tentative="1">
      <w:start w:val="1"/>
      <w:numFmt w:val="bullet"/>
      <w:lvlText w:val=""/>
      <w:lvlJc w:val="left"/>
      <w:pPr>
        <w:ind w:left="4320" w:hanging="360"/>
      </w:pPr>
      <w:rPr>
        <w:rFonts w:ascii="Wingdings" w:hAnsi="Wingdings" w:hint="default"/>
      </w:rPr>
    </w:lvl>
    <w:lvl w:ilvl="6" w:tplc="EE2223B0" w:tentative="1">
      <w:start w:val="1"/>
      <w:numFmt w:val="bullet"/>
      <w:lvlText w:val=""/>
      <w:lvlJc w:val="left"/>
      <w:pPr>
        <w:ind w:left="5040" w:hanging="360"/>
      </w:pPr>
      <w:rPr>
        <w:rFonts w:ascii="Symbol" w:hAnsi="Symbol" w:hint="default"/>
      </w:rPr>
    </w:lvl>
    <w:lvl w:ilvl="7" w:tplc="5BC05972" w:tentative="1">
      <w:start w:val="1"/>
      <w:numFmt w:val="bullet"/>
      <w:lvlText w:val="o"/>
      <w:lvlJc w:val="left"/>
      <w:pPr>
        <w:ind w:left="5760" w:hanging="360"/>
      </w:pPr>
      <w:rPr>
        <w:rFonts w:ascii="Courier New" w:hAnsi="Courier New" w:cs="Courier New" w:hint="default"/>
      </w:rPr>
    </w:lvl>
    <w:lvl w:ilvl="8" w:tplc="03E85D42" w:tentative="1">
      <w:start w:val="1"/>
      <w:numFmt w:val="bullet"/>
      <w:lvlText w:val=""/>
      <w:lvlJc w:val="left"/>
      <w:pPr>
        <w:ind w:left="6480" w:hanging="360"/>
      </w:pPr>
      <w:rPr>
        <w:rFonts w:ascii="Wingdings" w:hAnsi="Wingdings" w:hint="default"/>
      </w:rPr>
    </w:lvl>
  </w:abstractNum>
  <w:abstractNum w:abstractNumId="21" w15:restartNumberingAfterBreak="0">
    <w:nsid w:val="631BF74F"/>
    <w:multiLevelType w:val="hybridMultilevel"/>
    <w:tmpl w:val="8022F668"/>
    <w:lvl w:ilvl="0" w:tplc="7C94C736">
      <w:start w:val="1"/>
      <w:numFmt w:val="bullet"/>
      <w:lvlText w:val=""/>
      <w:lvlJc w:val="left"/>
      <w:pPr>
        <w:ind w:left="720" w:hanging="360"/>
      </w:pPr>
      <w:rPr>
        <w:rFonts w:ascii="Symbol" w:hAnsi="Symbol" w:hint="default"/>
      </w:rPr>
    </w:lvl>
    <w:lvl w:ilvl="1" w:tplc="D4D21C80">
      <w:start w:val="1"/>
      <w:numFmt w:val="bullet"/>
      <w:lvlText w:val="o"/>
      <w:lvlJc w:val="left"/>
      <w:pPr>
        <w:ind w:left="1440" w:hanging="360"/>
      </w:pPr>
      <w:rPr>
        <w:rFonts w:ascii="Courier New" w:hAnsi="Courier New" w:cs="Times New Roman" w:hint="default"/>
      </w:rPr>
    </w:lvl>
    <w:lvl w:ilvl="2" w:tplc="B868DD56">
      <w:start w:val="1"/>
      <w:numFmt w:val="bullet"/>
      <w:lvlText w:val=""/>
      <w:lvlJc w:val="left"/>
      <w:pPr>
        <w:ind w:left="2160" w:hanging="360"/>
      </w:pPr>
      <w:rPr>
        <w:rFonts w:ascii="Wingdings" w:hAnsi="Wingdings" w:hint="default"/>
      </w:rPr>
    </w:lvl>
    <w:lvl w:ilvl="3" w:tplc="D55A77FE">
      <w:start w:val="1"/>
      <w:numFmt w:val="bullet"/>
      <w:lvlText w:val=""/>
      <w:lvlJc w:val="left"/>
      <w:pPr>
        <w:ind w:left="2880" w:hanging="360"/>
      </w:pPr>
      <w:rPr>
        <w:rFonts w:ascii="Symbol" w:hAnsi="Symbol" w:hint="default"/>
      </w:rPr>
    </w:lvl>
    <w:lvl w:ilvl="4" w:tplc="C31A5200">
      <w:start w:val="1"/>
      <w:numFmt w:val="bullet"/>
      <w:lvlText w:val="o"/>
      <w:lvlJc w:val="left"/>
      <w:pPr>
        <w:ind w:left="3600" w:hanging="360"/>
      </w:pPr>
      <w:rPr>
        <w:rFonts w:ascii="Courier New" w:hAnsi="Courier New" w:cs="Times New Roman" w:hint="default"/>
      </w:rPr>
    </w:lvl>
    <w:lvl w:ilvl="5" w:tplc="63368B7C">
      <w:start w:val="1"/>
      <w:numFmt w:val="bullet"/>
      <w:lvlText w:val=""/>
      <w:lvlJc w:val="left"/>
      <w:pPr>
        <w:ind w:left="4320" w:hanging="360"/>
      </w:pPr>
      <w:rPr>
        <w:rFonts w:ascii="Wingdings" w:hAnsi="Wingdings" w:hint="default"/>
      </w:rPr>
    </w:lvl>
    <w:lvl w:ilvl="6" w:tplc="B70611E0">
      <w:start w:val="1"/>
      <w:numFmt w:val="bullet"/>
      <w:lvlText w:val=""/>
      <w:lvlJc w:val="left"/>
      <w:pPr>
        <w:ind w:left="5040" w:hanging="360"/>
      </w:pPr>
      <w:rPr>
        <w:rFonts w:ascii="Symbol" w:hAnsi="Symbol" w:hint="default"/>
      </w:rPr>
    </w:lvl>
    <w:lvl w:ilvl="7" w:tplc="1B8C3302">
      <w:start w:val="1"/>
      <w:numFmt w:val="bullet"/>
      <w:lvlText w:val="o"/>
      <w:lvlJc w:val="left"/>
      <w:pPr>
        <w:ind w:left="5760" w:hanging="360"/>
      </w:pPr>
      <w:rPr>
        <w:rFonts w:ascii="Courier New" w:hAnsi="Courier New" w:cs="Times New Roman" w:hint="default"/>
      </w:rPr>
    </w:lvl>
    <w:lvl w:ilvl="8" w:tplc="3AB0EA08">
      <w:start w:val="1"/>
      <w:numFmt w:val="bullet"/>
      <w:lvlText w:val=""/>
      <w:lvlJc w:val="left"/>
      <w:pPr>
        <w:ind w:left="6480" w:hanging="360"/>
      </w:pPr>
      <w:rPr>
        <w:rFonts w:ascii="Wingdings" w:hAnsi="Wingdings" w:hint="default"/>
      </w:rPr>
    </w:lvl>
  </w:abstractNum>
  <w:abstractNum w:abstractNumId="22" w15:restartNumberingAfterBreak="0">
    <w:nsid w:val="64F732C0"/>
    <w:multiLevelType w:val="hybridMultilevel"/>
    <w:tmpl w:val="544E9E72"/>
    <w:lvl w:ilvl="0" w:tplc="19564662">
      <w:start w:val="1"/>
      <w:numFmt w:val="bullet"/>
      <w:lvlText w:val=""/>
      <w:lvlJc w:val="left"/>
      <w:pPr>
        <w:tabs>
          <w:tab w:val="num" w:pos="1560"/>
        </w:tabs>
        <w:ind w:left="1560" w:hanging="360"/>
      </w:pPr>
      <w:rPr>
        <w:rFonts w:ascii="Symbol" w:hAnsi="Symbol" w:hint="default"/>
      </w:rPr>
    </w:lvl>
    <w:lvl w:ilvl="1" w:tplc="69266C3E" w:tentative="1">
      <w:start w:val="1"/>
      <w:numFmt w:val="bullet"/>
      <w:lvlText w:val="o"/>
      <w:lvlJc w:val="left"/>
      <w:pPr>
        <w:tabs>
          <w:tab w:val="num" w:pos="2280"/>
        </w:tabs>
        <w:ind w:left="2280" w:hanging="360"/>
      </w:pPr>
      <w:rPr>
        <w:rFonts w:ascii="Courier New" w:hAnsi="Courier New" w:cs="Courier New" w:hint="default"/>
      </w:rPr>
    </w:lvl>
    <w:lvl w:ilvl="2" w:tplc="1B72603E" w:tentative="1">
      <w:start w:val="1"/>
      <w:numFmt w:val="bullet"/>
      <w:lvlText w:val=""/>
      <w:lvlJc w:val="left"/>
      <w:pPr>
        <w:tabs>
          <w:tab w:val="num" w:pos="3000"/>
        </w:tabs>
        <w:ind w:left="3000" w:hanging="360"/>
      </w:pPr>
      <w:rPr>
        <w:rFonts w:ascii="Wingdings" w:hAnsi="Wingdings" w:hint="default"/>
      </w:rPr>
    </w:lvl>
    <w:lvl w:ilvl="3" w:tplc="AE6CDCE2" w:tentative="1">
      <w:start w:val="1"/>
      <w:numFmt w:val="bullet"/>
      <w:lvlText w:val=""/>
      <w:lvlJc w:val="left"/>
      <w:pPr>
        <w:tabs>
          <w:tab w:val="num" w:pos="3720"/>
        </w:tabs>
        <w:ind w:left="3720" w:hanging="360"/>
      </w:pPr>
      <w:rPr>
        <w:rFonts w:ascii="Symbol" w:hAnsi="Symbol" w:hint="default"/>
      </w:rPr>
    </w:lvl>
    <w:lvl w:ilvl="4" w:tplc="8A7052D8" w:tentative="1">
      <w:start w:val="1"/>
      <w:numFmt w:val="bullet"/>
      <w:lvlText w:val="o"/>
      <w:lvlJc w:val="left"/>
      <w:pPr>
        <w:tabs>
          <w:tab w:val="num" w:pos="4440"/>
        </w:tabs>
        <w:ind w:left="4440" w:hanging="360"/>
      </w:pPr>
      <w:rPr>
        <w:rFonts w:ascii="Courier New" w:hAnsi="Courier New" w:cs="Courier New" w:hint="default"/>
      </w:rPr>
    </w:lvl>
    <w:lvl w:ilvl="5" w:tplc="8CA648A8" w:tentative="1">
      <w:start w:val="1"/>
      <w:numFmt w:val="bullet"/>
      <w:lvlText w:val=""/>
      <w:lvlJc w:val="left"/>
      <w:pPr>
        <w:tabs>
          <w:tab w:val="num" w:pos="5160"/>
        </w:tabs>
        <w:ind w:left="5160" w:hanging="360"/>
      </w:pPr>
      <w:rPr>
        <w:rFonts w:ascii="Wingdings" w:hAnsi="Wingdings" w:hint="default"/>
      </w:rPr>
    </w:lvl>
    <w:lvl w:ilvl="6" w:tplc="A8122826" w:tentative="1">
      <w:start w:val="1"/>
      <w:numFmt w:val="bullet"/>
      <w:lvlText w:val=""/>
      <w:lvlJc w:val="left"/>
      <w:pPr>
        <w:tabs>
          <w:tab w:val="num" w:pos="5880"/>
        </w:tabs>
        <w:ind w:left="5880" w:hanging="360"/>
      </w:pPr>
      <w:rPr>
        <w:rFonts w:ascii="Symbol" w:hAnsi="Symbol" w:hint="default"/>
      </w:rPr>
    </w:lvl>
    <w:lvl w:ilvl="7" w:tplc="A1F6CD14" w:tentative="1">
      <w:start w:val="1"/>
      <w:numFmt w:val="bullet"/>
      <w:lvlText w:val="o"/>
      <w:lvlJc w:val="left"/>
      <w:pPr>
        <w:tabs>
          <w:tab w:val="num" w:pos="6600"/>
        </w:tabs>
        <w:ind w:left="6600" w:hanging="360"/>
      </w:pPr>
      <w:rPr>
        <w:rFonts w:ascii="Courier New" w:hAnsi="Courier New" w:cs="Courier New" w:hint="default"/>
      </w:rPr>
    </w:lvl>
    <w:lvl w:ilvl="8" w:tplc="F5204F66" w:tentative="1">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665D5A9A"/>
    <w:multiLevelType w:val="hybridMultilevel"/>
    <w:tmpl w:val="D03E50A6"/>
    <w:lvl w:ilvl="0" w:tplc="941C72AC">
      <w:start w:val="1"/>
      <w:numFmt w:val="bullet"/>
      <w:lvlText w:val=""/>
      <w:lvlJc w:val="left"/>
      <w:pPr>
        <w:ind w:left="720" w:hanging="360"/>
      </w:pPr>
      <w:rPr>
        <w:rFonts w:ascii="Symbol" w:hAnsi="Symbol" w:hint="default"/>
      </w:rPr>
    </w:lvl>
    <w:lvl w:ilvl="1" w:tplc="C9CAE528">
      <w:start w:val="1"/>
      <w:numFmt w:val="bullet"/>
      <w:lvlText w:val=""/>
      <w:lvlJc w:val="left"/>
      <w:pPr>
        <w:ind w:left="1440" w:hanging="360"/>
      </w:pPr>
      <w:rPr>
        <w:rFonts w:ascii="Wingdings" w:hAnsi="Wingdings" w:hint="default"/>
      </w:rPr>
    </w:lvl>
    <w:lvl w:ilvl="2" w:tplc="E4F2A9EE">
      <w:start w:val="1"/>
      <w:numFmt w:val="bullet"/>
      <w:lvlText w:val=""/>
      <w:lvlJc w:val="left"/>
      <w:pPr>
        <w:ind w:left="2160" w:hanging="360"/>
      </w:pPr>
      <w:rPr>
        <w:rFonts w:ascii="Wingdings" w:hAnsi="Wingdings" w:hint="default"/>
      </w:rPr>
    </w:lvl>
    <w:lvl w:ilvl="3" w:tplc="B6C64B52" w:tentative="1">
      <w:start w:val="1"/>
      <w:numFmt w:val="bullet"/>
      <w:lvlText w:val=""/>
      <w:lvlJc w:val="left"/>
      <w:pPr>
        <w:ind w:left="2880" w:hanging="360"/>
      </w:pPr>
      <w:rPr>
        <w:rFonts w:ascii="Symbol" w:hAnsi="Symbol" w:hint="default"/>
      </w:rPr>
    </w:lvl>
    <w:lvl w:ilvl="4" w:tplc="20663C1E" w:tentative="1">
      <w:start w:val="1"/>
      <w:numFmt w:val="bullet"/>
      <w:lvlText w:val="o"/>
      <w:lvlJc w:val="left"/>
      <w:pPr>
        <w:ind w:left="3600" w:hanging="360"/>
      </w:pPr>
      <w:rPr>
        <w:rFonts w:ascii="Courier New" w:hAnsi="Courier New" w:cs="Courier New" w:hint="default"/>
      </w:rPr>
    </w:lvl>
    <w:lvl w:ilvl="5" w:tplc="9912C51C" w:tentative="1">
      <w:start w:val="1"/>
      <w:numFmt w:val="bullet"/>
      <w:lvlText w:val=""/>
      <w:lvlJc w:val="left"/>
      <w:pPr>
        <w:ind w:left="4320" w:hanging="360"/>
      </w:pPr>
      <w:rPr>
        <w:rFonts w:ascii="Wingdings" w:hAnsi="Wingdings" w:hint="default"/>
      </w:rPr>
    </w:lvl>
    <w:lvl w:ilvl="6" w:tplc="698C80B0" w:tentative="1">
      <w:start w:val="1"/>
      <w:numFmt w:val="bullet"/>
      <w:lvlText w:val=""/>
      <w:lvlJc w:val="left"/>
      <w:pPr>
        <w:ind w:left="5040" w:hanging="360"/>
      </w:pPr>
      <w:rPr>
        <w:rFonts w:ascii="Symbol" w:hAnsi="Symbol" w:hint="default"/>
      </w:rPr>
    </w:lvl>
    <w:lvl w:ilvl="7" w:tplc="7F5C8DF0" w:tentative="1">
      <w:start w:val="1"/>
      <w:numFmt w:val="bullet"/>
      <w:lvlText w:val="o"/>
      <w:lvlJc w:val="left"/>
      <w:pPr>
        <w:ind w:left="5760" w:hanging="360"/>
      </w:pPr>
      <w:rPr>
        <w:rFonts w:ascii="Courier New" w:hAnsi="Courier New" w:cs="Courier New" w:hint="default"/>
      </w:rPr>
    </w:lvl>
    <w:lvl w:ilvl="8" w:tplc="A3F0A8AC" w:tentative="1">
      <w:start w:val="1"/>
      <w:numFmt w:val="bullet"/>
      <w:lvlText w:val=""/>
      <w:lvlJc w:val="left"/>
      <w:pPr>
        <w:ind w:left="6480" w:hanging="360"/>
      </w:pPr>
      <w:rPr>
        <w:rFonts w:ascii="Wingdings" w:hAnsi="Wingdings" w:hint="default"/>
      </w:rPr>
    </w:lvl>
  </w:abstractNum>
  <w:abstractNum w:abstractNumId="24" w15:restartNumberingAfterBreak="0">
    <w:nsid w:val="752569BE"/>
    <w:multiLevelType w:val="hybridMultilevel"/>
    <w:tmpl w:val="E2CC6482"/>
    <w:lvl w:ilvl="0" w:tplc="2416C702">
      <w:start w:val="1"/>
      <w:numFmt w:val="bullet"/>
      <w:lvlText w:val=""/>
      <w:lvlJc w:val="left"/>
      <w:pPr>
        <w:tabs>
          <w:tab w:val="num" w:pos="1800"/>
        </w:tabs>
        <w:ind w:left="1800" w:hanging="360"/>
      </w:pPr>
      <w:rPr>
        <w:rFonts w:ascii="Symbol" w:hAnsi="Symbol" w:hint="default"/>
        <w:sz w:val="20"/>
      </w:rPr>
    </w:lvl>
    <w:lvl w:ilvl="1" w:tplc="41EC6DCA" w:tentative="1">
      <w:start w:val="1"/>
      <w:numFmt w:val="bullet"/>
      <w:lvlText w:val="o"/>
      <w:lvlJc w:val="left"/>
      <w:pPr>
        <w:tabs>
          <w:tab w:val="num" w:pos="2520"/>
        </w:tabs>
        <w:ind w:left="2520" w:hanging="360"/>
      </w:pPr>
      <w:rPr>
        <w:rFonts w:ascii="Courier New" w:hAnsi="Courier New" w:hint="default"/>
        <w:sz w:val="20"/>
      </w:rPr>
    </w:lvl>
    <w:lvl w:ilvl="2" w:tplc="53DEEC46" w:tentative="1">
      <w:start w:val="1"/>
      <w:numFmt w:val="bullet"/>
      <w:lvlText w:val=""/>
      <w:lvlJc w:val="left"/>
      <w:pPr>
        <w:tabs>
          <w:tab w:val="num" w:pos="3240"/>
        </w:tabs>
        <w:ind w:left="3240" w:hanging="360"/>
      </w:pPr>
      <w:rPr>
        <w:rFonts w:ascii="Wingdings" w:hAnsi="Wingdings" w:hint="default"/>
        <w:sz w:val="20"/>
      </w:rPr>
    </w:lvl>
    <w:lvl w:ilvl="3" w:tplc="E74E3CC6" w:tentative="1">
      <w:start w:val="1"/>
      <w:numFmt w:val="bullet"/>
      <w:lvlText w:val=""/>
      <w:lvlJc w:val="left"/>
      <w:pPr>
        <w:tabs>
          <w:tab w:val="num" w:pos="3960"/>
        </w:tabs>
        <w:ind w:left="3960" w:hanging="360"/>
      </w:pPr>
      <w:rPr>
        <w:rFonts w:ascii="Wingdings" w:hAnsi="Wingdings" w:hint="default"/>
        <w:sz w:val="20"/>
      </w:rPr>
    </w:lvl>
    <w:lvl w:ilvl="4" w:tplc="C80AB076" w:tentative="1">
      <w:start w:val="1"/>
      <w:numFmt w:val="bullet"/>
      <w:lvlText w:val=""/>
      <w:lvlJc w:val="left"/>
      <w:pPr>
        <w:tabs>
          <w:tab w:val="num" w:pos="4680"/>
        </w:tabs>
        <w:ind w:left="4680" w:hanging="360"/>
      </w:pPr>
      <w:rPr>
        <w:rFonts w:ascii="Wingdings" w:hAnsi="Wingdings" w:hint="default"/>
        <w:sz w:val="20"/>
      </w:rPr>
    </w:lvl>
    <w:lvl w:ilvl="5" w:tplc="1B0AD8E6" w:tentative="1">
      <w:start w:val="1"/>
      <w:numFmt w:val="bullet"/>
      <w:lvlText w:val=""/>
      <w:lvlJc w:val="left"/>
      <w:pPr>
        <w:tabs>
          <w:tab w:val="num" w:pos="5400"/>
        </w:tabs>
        <w:ind w:left="5400" w:hanging="360"/>
      </w:pPr>
      <w:rPr>
        <w:rFonts w:ascii="Wingdings" w:hAnsi="Wingdings" w:hint="default"/>
        <w:sz w:val="20"/>
      </w:rPr>
    </w:lvl>
    <w:lvl w:ilvl="6" w:tplc="73B69668" w:tentative="1">
      <w:start w:val="1"/>
      <w:numFmt w:val="bullet"/>
      <w:lvlText w:val=""/>
      <w:lvlJc w:val="left"/>
      <w:pPr>
        <w:tabs>
          <w:tab w:val="num" w:pos="6120"/>
        </w:tabs>
        <w:ind w:left="6120" w:hanging="360"/>
      </w:pPr>
      <w:rPr>
        <w:rFonts w:ascii="Wingdings" w:hAnsi="Wingdings" w:hint="default"/>
        <w:sz w:val="20"/>
      </w:rPr>
    </w:lvl>
    <w:lvl w:ilvl="7" w:tplc="88FC9EA6" w:tentative="1">
      <w:start w:val="1"/>
      <w:numFmt w:val="bullet"/>
      <w:lvlText w:val=""/>
      <w:lvlJc w:val="left"/>
      <w:pPr>
        <w:tabs>
          <w:tab w:val="num" w:pos="6840"/>
        </w:tabs>
        <w:ind w:left="6840" w:hanging="360"/>
      </w:pPr>
      <w:rPr>
        <w:rFonts w:ascii="Wingdings" w:hAnsi="Wingdings" w:hint="default"/>
        <w:sz w:val="20"/>
      </w:rPr>
    </w:lvl>
    <w:lvl w:ilvl="8" w:tplc="C93A3DBE"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756F6D53"/>
    <w:multiLevelType w:val="multilevel"/>
    <w:tmpl w:val="A33CE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437EA"/>
    <w:multiLevelType w:val="hybridMultilevel"/>
    <w:tmpl w:val="B7688184"/>
    <w:lvl w:ilvl="0" w:tplc="DF9AA1FA">
      <w:start w:val="1"/>
      <w:numFmt w:val="bullet"/>
      <w:lvlText w:val=""/>
      <w:lvlJc w:val="left"/>
      <w:pPr>
        <w:tabs>
          <w:tab w:val="num" w:pos="720"/>
        </w:tabs>
        <w:ind w:left="720" w:hanging="360"/>
      </w:pPr>
      <w:rPr>
        <w:rFonts w:ascii="Symbol" w:hAnsi="Symbol" w:hint="default"/>
      </w:rPr>
    </w:lvl>
    <w:lvl w:ilvl="1" w:tplc="A43E700A" w:tentative="1">
      <w:start w:val="1"/>
      <w:numFmt w:val="bullet"/>
      <w:lvlText w:val="o"/>
      <w:lvlJc w:val="left"/>
      <w:pPr>
        <w:tabs>
          <w:tab w:val="num" w:pos="1440"/>
        </w:tabs>
        <w:ind w:left="1440" w:hanging="360"/>
      </w:pPr>
      <w:rPr>
        <w:rFonts w:ascii="Courier New" w:hAnsi="Courier New" w:cs="Courier New" w:hint="default"/>
      </w:rPr>
    </w:lvl>
    <w:lvl w:ilvl="2" w:tplc="BDC81BBA" w:tentative="1">
      <w:start w:val="1"/>
      <w:numFmt w:val="bullet"/>
      <w:lvlText w:val=""/>
      <w:lvlJc w:val="left"/>
      <w:pPr>
        <w:tabs>
          <w:tab w:val="num" w:pos="2160"/>
        </w:tabs>
        <w:ind w:left="2160" w:hanging="360"/>
      </w:pPr>
      <w:rPr>
        <w:rFonts w:ascii="Wingdings" w:hAnsi="Wingdings" w:hint="default"/>
      </w:rPr>
    </w:lvl>
    <w:lvl w:ilvl="3" w:tplc="00CCFD96" w:tentative="1">
      <w:start w:val="1"/>
      <w:numFmt w:val="bullet"/>
      <w:lvlText w:val=""/>
      <w:lvlJc w:val="left"/>
      <w:pPr>
        <w:tabs>
          <w:tab w:val="num" w:pos="2880"/>
        </w:tabs>
        <w:ind w:left="2880" w:hanging="360"/>
      </w:pPr>
      <w:rPr>
        <w:rFonts w:ascii="Symbol" w:hAnsi="Symbol" w:hint="default"/>
      </w:rPr>
    </w:lvl>
    <w:lvl w:ilvl="4" w:tplc="25E671A0" w:tentative="1">
      <w:start w:val="1"/>
      <w:numFmt w:val="bullet"/>
      <w:lvlText w:val="o"/>
      <w:lvlJc w:val="left"/>
      <w:pPr>
        <w:tabs>
          <w:tab w:val="num" w:pos="3600"/>
        </w:tabs>
        <w:ind w:left="3600" w:hanging="360"/>
      </w:pPr>
      <w:rPr>
        <w:rFonts w:ascii="Courier New" w:hAnsi="Courier New" w:cs="Courier New" w:hint="default"/>
      </w:rPr>
    </w:lvl>
    <w:lvl w:ilvl="5" w:tplc="A8DA5282" w:tentative="1">
      <w:start w:val="1"/>
      <w:numFmt w:val="bullet"/>
      <w:lvlText w:val=""/>
      <w:lvlJc w:val="left"/>
      <w:pPr>
        <w:tabs>
          <w:tab w:val="num" w:pos="4320"/>
        </w:tabs>
        <w:ind w:left="4320" w:hanging="360"/>
      </w:pPr>
      <w:rPr>
        <w:rFonts w:ascii="Wingdings" w:hAnsi="Wingdings" w:hint="default"/>
      </w:rPr>
    </w:lvl>
    <w:lvl w:ilvl="6" w:tplc="B96E45F2" w:tentative="1">
      <w:start w:val="1"/>
      <w:numFmt w:val="bullet"/>
      <w:lvlText w:val=""/>
      <w:lvlJc w:val="left"/>
      <w:pPr>
        <w:tabs>
          <w:tab w:val="num" w:pos="5040"/>
        </w:tabs>
        <w:ind w:left="5040" w:hanging="360"/>
      </w:pPr>
      <w:rPr>
        <w:rFonts w:ascii="Symbol" w:hAnsi="Symbol" w:hint="default"/>
      </w:rPr>
    </w:lvl>
    <w:lvl w:ilvl="7" w:tplc="E482DC82" w:tentative="1">
      <w:start w:val="1"/>
      <w:numFmt w:val="bullet"/>
      <w:lvlText w:val="o"/>
      <w:lvlJc w:val="left"/>
      <w:pPr>
        <w:tabs>
          <w:tab w:val="num" w:pos="5760"/>
        </w:tabs>
        <w:ind w:left="5760" w:hanging="360"/>
      </w:pPr>
      <w:rPr>
        <w:rFonts w:ascii="Courier New" w:hAnsi="Courier New" w:cs="Courier New" w:hint="default"/>
      </w:rPr>
    </w:lvl>
    <w:lvl w:ilvl="8" w:tplc="239A37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45F51"/>
    <w:multiLevelType w:val="hybridMultilevel"/>
    <w:tmpl w:val="EBF23200"/>
    <w:lvl w:ilvl="0" w:tplc="A48641F4">
      <w:start w:val="1"/>
      <w:numFmt w:val="bullet"/>
      <w:lvlText w:val=""/>
      <w:lvlJc w:val="left"/>
      <w:pPr>
        <w:ind w:left="720" w:hanging="360"/>
      </w:pPr>
      <w:rPr>
        <w:rFonts w:ascii="Symbol" w:hAnsi="Symbol" w:hint="default"/>
      </w:rPr>
    </w:lvl>
    <w:lvl w:ilvl="1" w:tplc="BF4AF48E" w:tentative="1">
      <w:start w:val="1"/>
      <w:numFmt w:val="bullet"/>
      <w:lvlText w:val="o"/>
      <w:lvlJc w:val="left"/>
      <w:pPr>
        <w:ind w:left="1440" w:hanging="360"/>
      </w:pPr>
      <w:rPr>
        <w:rFonts w:ascii="Courier New" w:hAnsi="Courier New" w:cs="Courier New" w:hint="default"/>
      </w:rPr>
    </w:lvl>
    <w:lvl w:ilvl="2" w:tplc="76A035D4" w:tentative="1">
      <w:start w:val="1"/>
      <w:numFmt w:val="bullet"/>
      <w:lvlText w:val=""/>
      <w:lvlJc w:val="left"/>
      <w:pPr>
        <w:ind w:left="2160" w:hanging="360"/>
      </w:pPr>
      <w:rPr>
        <w:rFonts w:ascii="Wingdings" w:hAnsi="Wingdings" w:hint="default"/>
      </w:rPr>
    </w:lvl>
    <w:lvl w:ilvl="3" w:tplc="71E84740" w:tentative="1">
      <w:start w:val="1"/>
      <w:numFmt w:val="bullet"/>
      <w:lvlText w:val=""/>
      <w:lvlJc w:val="left"/>
      <w:pPr>
        <w:ind w:left="2880" w:hanging="360"/>
      </w:pPr>
      <w:rPr>
        <w:rFonts w:ascii="Symbol" w:hAnsi="Symbol" w:hint="default"/>
      </w:rPr>
    </w:lvl>
    <w:lvl w:ilvl="4" w:tplc="D7823A0E" w:tentative="1">
      <w:start w:val="1"/>
      <w:numFmt w:val="bullet"/>
      <w:lvlText w:val="o"/>
      <w:lvlJc w:val="left"/>
      <w:pPr>
        <w:ind w:left="3600" w:hanging="360"/>
      </w:pPr>
      <w:rPr>
        <w:rFonts w:ascii="Courier New" w:hAnsi="Courier New" w:cs="Courier New" w:hint="default"/>
      </w:rPr>
    </w:lvl>
    <w:lvl w:ilvl="5" w:tplc="B386AA84" w:tentative="1">
      <w:start w:val="1"/>
      <w:numFmt w:val="bullet"/>
      <w:lvlText w:val=""/>
      <w:lvlJc w:val="left"/>
      <w:pPr>
        <w:ind w:left="4320" w:hanging="360"/>
      </w:pPr>
      <w:rPr>
        <w:rFonts w:ascii="Wingdings" w:hAnsi="Wingdings" w:hint="default"/>
      </w:rPr>
    </w:lvl>
    <w:lvl w:ilvl="6" w:tplc="016CE1FA" w:tentative="1">
      <w:start w:val="1"/>
      <w:numFmt w:val="bullet"/>
      <w:lvlText w:val=""/>
      <w:lvlJc w:val="left"/>
      <w:pPr>
        <w:ind w:left="5040" w:hanging="360"/>
      </w:pPr>
      <w:rPr>
        <w:rFonts w:ascii="Symbol" w:hAnsi="Symbol" w:hint="default"/>
      </w:rPr>
    </w:lvl>
    <w:lvl w:ilvl="7" w:tplc="F008F44A" w:tentative="1">
      <w:start w:val="1"/>
      <w:numFmt w:val="bullet"/>
      <w:lvlText w:val="o"/>
      <w:lvlJc w:val="left"/>
      <w:pPr>
        <w:ind w:left="5760" w:hanging="360"/>
      </w:pPr>
      <w:rPr>
        <w:rFonts w:ascii="Courier New" w:hAnsi="Courier New" w:cs="Courier New" w:hint="default"/>
      </w:rPr>
    </w:lvl>
    <w:lvl w:ilvl="8" w:tplc="4AAE4390" w:tentative="1">
      <w:start w:val="1"/>
      <w:numFmt w:val="bullet"/>
      <w:lvlText w:val=""/>
      <w:lvlJc w:val="left"/>
      <w:pPr>
        <w:ind w:left="6480" w:hanging="360"/>
      </w:pPr>
      <w:rPr>
        <w:rFonts w:ascii="Wingdings" w:hAnsi="Wingdings" w:hint="default"/>
      </w:rPr>
    </w:lvl>
  </w:abstractNum>
  <w:abstractNum w:abstractNumId="28" w15:restartNumberingAfterBreak="0">
    <w:nsid w:val="7A597EB0"/>
    <w:multiLevelType w:val="hybridMultilevel"/>
    <w:tmpl w:val="75860522"/>
    <w:lvl w:ilvl="0" w:tplc="DF76657A">
      <w:start w:val="1"/>
      <w:numFmt w:val="bullet"/>
      <w:lvlText w:val=""/>
      <w:lvlJc w:val="left"/>
      <w:pPr>
        <w:tabs>
          <w:tab w:val="num" w:pos="720"/>
        </w:tabs>
        <w:ind w:left="720" w:hanging="360"/>
      </w:pPr>
      <w:rPr>
        <w:rFonts w:ascii="Symbol" w:hAnsi="Symbol" w:hint="default"/>
      </w:rPr>
    </w:lvl>
    <w:lvl w:ilvl="1" w:tplc="69508D90" w:tentative="1">
      <w:start w:val="1"/>
      <w:numFmt w:val="bullet"/>
      <w:lvlText w:val="o"/>
      <w:lvlJc w:val="left"/>
      <w:pPr>
        <w:tabs>
          <w:tab w:val="num" w:pos="1440"/>
        </w:tabs>
        <w:ind w:left="1440" w:hanging="360"/>
      </w:pPr>
      <w:rPr>
        <w:rFonts w:ascii="Courier New" w:hAnsi="Courier New" w:cs="Courier New" w:hint="default"/>
      </w:rPr>
    </w:lvl>
    <w:lvl w:ilvl="2" w:tplc="3FBC7B52" w:tentative="1">
      <w:start w:val="1"/>
      <w:numFmt w:val="bullet"/>
      <w:lvlText w:val=""/>
      <w:lvlJc w:val="left"/>
      <w:pPr>
        <w:tabs>
          <w:tab w:val="num" w:pos="2160"/>
        </w:tabs>
        <w:ind w:left="2160" w:hanging="360"/>
      </w:pPr>
      <w:rPr>
        <w:rFonts w:ascii="Wingdings" w:hAnsi="Wingdings" w:hint="default"/>
      </w:rPr>
    </w:lvl>
    <w:lvl w:ilvl="3" w:tplc="67A81280" w:tentative="1">
      <w:start w:val="1"/>
      <w:numFmt w:val="bullet"/>
      <w:lvlText w:val=""/>
      <w:lvlJc w:val="left"/>
      <w:pPr>
        <w:tabs>
          <w:tab w:val="num" w:pos="2880"/>
        </w:tabs>
        <w:ind w:left="2880" w:hanging="360"/>
      </w:pPr>
      <w:rPr>
        <w:rFonts w:ascii="Symbol" w:hAnsi="Symbol" w:hint="default"/>
      </w:rPr>
    </w:lvl>
    <w:lvl w:ilvl="4" w:tplc="146A927A" w:tentative="1">
      <w:start w:val="1"/>
      <w:numFmt w:val="bullet"/>
      <w:lvlText w:val="o"/>
      <w:lvlJc w:val="left"/>
      <w:pPr>
        <w:tabs>
          <w:tab w:val="num" w:pos="3600"/>
        </w:tabs>
        <w:ind w:left="3600" w:hanging="360"/>
      </w:pPr>
      <w:rPr>
        <w:rFonts w:ascii="Courier New" w:hAnsi="Courier New" w:cs="Courier New" w:hint="default"/>
      </w:rPr>
    </w:lvl>
    <w:lvl w:ilvl="5" w:tplc="C860A594" w:tentative="1">
      <w:start w:val="1"/>
      <w:numFmt w:val="bullet"/>
      <w:lvlText w:val=""/>
      <w:lvlJc w:val="left"/>
      <w:pPr>
        <w:tabs>
          <w:tab w:val="num" w:pos="4320"/>
        </w:tabs>
        <w:ind w:left="4320" w:hanging="360"/>
      </w:pPr>
      <w:rPr>
        <w:rFonts w:ascii="Wingdings" w:hAnsi="Wingdings" w:hint="default"/>
      </w:rPr>
    </w:lvl>
    <w:lvl w:ilvl="6" w:tplc="BC965D7A" w:tentative="1">
      <w:start w:val="1"/>
      <w:numFmt w:val="bullet"/>
      <w:lvlText w:val=""/>
      <w:lvlJc w:val="left"/>
      <w:pPr>
        <w:tabs>
          <w:tab w:val="num" w:pos="5040"/>
        </w:tabs>
        <w:ind w:left="5040" w:hanging="360"/>
      </w:pPr>
      <w:rPr>
        <w:rFonts w:ascii="Symbol" w:hAnsi="Symbol" w:hint="default"/>
      </w:rPr>
    </w:lvl>
    <w:lvl w:ilvl="7" w:tplc="8A20909C" w:tentative="1">
      <w:start w:val="1"/>
      <w:numFmt w:val="bullet"/>
      <w:lvlText w:val="o"/>
      <w:lvlJc w:val="left"/>
      <w:pPr>
        <w:tabs>
          <w:tab w:val="num" w:pos="5760"/>
        </w:tabs>
        <w:ind w:left="5760" w:hanging="360"/>
      </w:pPr>
      <w:rPr>
        <w:rFonts w:ascii="Courier New" w:hAnsi="Courier New" w:cs="Courier New" w:hint="default"/>
      </w:rPr>
    </w:lvl>
    <w:lvl w:ilvl="8" w:tplc="3C586156" w:tentative="1">
      <w:start w:val="1"/>
      <w:numFmt w:val="bullet"/>
      <w:lvlText w:val=""/>
      <w:lvlJc w:val="left"/>
      <w:pPr>
        <w:tabs>
          <w:tab w:val="num" w:pos="6480"/>
        </w:tabs>
        <w:ind w:left="6480" w:hanging="360"/>
      </w:pPr>
      <w:rPr>
        <w:rFonts w:ascii="Wingdings" w:hAnsi="Wingdings" w:hint="default"/>
      </w:rPr>
    </w:lvl>
  </w:abstractNum>
  <w:num w:numId="1" w16cid:durableId="105197931">
    <w:abstractNumId w:val="15"/>
  </w:num>
  <w:num w:numId="2" w16cid:durableId="561326788">
    <w:abstractNumId w:val="8"/>
  </w:num>
  <w:num w:numId="3" w16cid:durableId="1285111121">
    <w:abstractNumId w:val="13"/>
  </w:num>
  <w:num w:numId="4" w16cid:durableId="1984311166">
    <w:abstractNumId w:val="12"/>
  </w:num>
  <w:num w:numId="5" w16cid:durableId="1909728709">
    <w:abstractNumId w:val="28"/>
  </w:num>
  <w:num w:numId="6" w16cid:durableId="1052003970">
    <w:abstractNumId w:val="9"/>
  </w:num>
  <w:num w:numId="7" w16cid:durableId="639572983">
    <w:abstractNumId w:val="5"/>
  </w:num>
  <w:num w:numId="8" w16cid:durableId="1033189178">
    <w:abstractNumId w:val="16"/>
  </w:num>
  <w:num w:numId="9" w16cid:durableId="19939296">
    <w:abstractNumId w:val="26"/>
  </w:num>
  <w:num w:numId="10" w16cid:durableId="630981327">
    <w:abstractNumId w:val="22"/>
  </w:num>
  <w:num w:numId="11" w16cid:durableId="794831050">
    <w:abstractNumId w:val="2"/>
  </w:num>
  <w:num w:numId="12" w16cid:durableId="1187714476">
    <w:abstractNumId w:val="23"/>
  </w:num>
  <w:num w:numId="13" w16cid:durableId="1469081922">
    <w:abstractNumId w:val="19"/>
  </w:num>
  <w:num w:numId="14" w16cid:durableId="2072459576">
    <w:abstractNumId w:val="27"/>
  </w:num>
  <w:num w:numId="15" w16cid:durableId="2002583563">
    <w:abstractNumId w:val="20"/>
  </w:num>
  <w:num w:numId="16" w16cid:durableId="1444573128">
    <w:abstractNumId w:val="4"/>
  </w:num>
  <w:num w:numId="17" w16cid:durableId="1952278181">
    <w:abstractNumId w:val="6"/>
  </w:num>
  <w:num w:numId="18" w16cid:durableId="1133135079">
    <w:abstractNumId w:val="3"/>
  </w:num>
  <w:num w:numId="19" w16cid:durableId="501359115">
    <w:abstractNumId w:val="10"/>
  </w:num>
  <w:num w:numId="20" w16cid:durableId="1356036629">
    <w:abstractNumId w:val="11"/>
  </w:num>
  <w:num w:numId="21" w16cid:durableId="300041686">
    <w:abstractNumId w:val="14"/>
  </w:num>
  <w:num w:numId="22" w16cid:durableId="980958302">
    <w:abstractNumId w:val="17"/>
  </w:num>
  <w:num w:numId="23" w16cid:durableId="297034536">
    <w:abstractNumId w:val="7"/>
  </w:num>
  <w:num w:numId="24" w16cid:durableId="835263599">
    <w:abstractNumId w:val="25"/>
  </w:num>
  <w:num w:numId="25" w16cid:durableId="616451959">
    <w:abstractNumId w:val="24"/>
  </w:num>
  <w:num w:numId="26" w16cid:durableId="1050768456">
    <w:abstractNumId w:val="18"/>
  </w:num>
  <w:num w:numId="27" w16cid:durableId="785078260">
    <w:abstractNumId w:val="1"/>
  </w:num>
  <w:num w:numId="28" w16cid:durableId="1630012761">
    <w:abstractNumId w:val="0"/>
  </w:num>
  <w:num w:numId="29" w16cid:durableId="450634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F1"/>
    <w:rsid w:val="00000E1C"/>
    <w:rsid w:val="0000302E"/>
    <w:rsid w:val="00003058"/>
    <w:rsid w:val="00004709"/>
    <w:rsid w:val="00004D5D"/>
    <w:rsid w:val="00005C76"/>
    <w:rsid w:val="00007D6C"/>
    <w:rsid w:val="0001137B"/>
    <w:rsid w:val="00012547"/>
    <w:rsid w:val="0001445C"/>
    <w:rsid w:val="00020E73"/>
    <w:rsid w:val="00025A07"/>
    <w:rsid w:val="00033F7F"/>
    <w:rsid w:val="0003409D"/>
    <w:rsid w:val="00034B7F"/>
    <w:rsid w:val="000378E1"/>
    <w:rsid w:val="00051C87"/>
    <w:rsid w:val="00056661"/>
    <w:rsid w:val="00056D95"/>
    <w:rsid w:val="0006464A"/>
    <w:rsid w:val="00073768"/>
    <w:rsid w:val="00075D33"/>
    <w:rsid w:val="000802A4"/>
    <w:rsid w:val="00080445"/>
    <w:rsid w:val="000816EE"/>
    <w:rsid w:val="00086151"/>
    <w:rsid w:val="000876B4"/>
    <w:rsid w:val="00093D4C"/>
    <w:rsid w:val="00095304"/>
    <w:rsid w:val="00095BCD"/>
    <w:rsid w:val="000967B7"/>
    <w:rsid w:val="000A2FF1"/>
    <w:rsid w:val="000A6662"/>
    <w:rsid w:val="000B003A"/>
    <w:rsid w:val="000B4920"/>
    <w:rsid w:val="000C01E6"/>
    <w:rsid w:val="000C1AA2"/>
    <w:rsid w:val="000C3D28"/>
    <w:rsid w:val="000C4908"/>
    <w:rsid w:val="000C571D"/>
    <w:rsid w:val="000C7668"/>
    <w:rsid w:val="000D55B2"/>
    <w:rsid w:val="000D5BD8"/>
    <w:rsid w:val="000D75D3"/>
    <w:rsid w:val="000E1126"/>
    <w:rsid w:val="000E2870"/>
    <w:rsid w:val="000E67A9"/>
    <w:rsid w:val="000F1158"/>
    <w:rsid w:val="00103F43"/>
    <w:rsid w:val="00104477"/>
    <w:rsid w:val="0010451E"/>
    <w:rsid w:val="00115325"/>
    <w:rsid w:val="00117D7D"/>
    <w:rsid w:val="0012020E"/>
    <w:rsid w:val="00122A5F"/>
    <w:rsid w:val="00123DEA"/>
    <w:rsid w:val="0012617B"/>
    <w:rsid w:val="001266FC"/>
    <w:rsid w:val="0013027F"/>
    <w:rsid w:val="001347DF"/>
    <w:rsid w:val="00140FF8"/>
    <w:rsid w:val="0014612F"/>
    <w:rsid w:val="0015015F"/>
    <w:rsid w:val="0015088B"/>
    <w:rsid w:val="00155366"/>
    <w:rsid w:val="00160055"/>
    <w:rsid w:val="0016136B"/>
    <w:rsid w:val="00166ECB"/>
    <w:rsid w:val="001711E4"/>
    <w:rsid w:val="00172495"/>
    <w:rsid w:val="0017316E"/>
    <w:rsid w:val="00174DBB"/>
    <w:rsid w:val="00175477"/>
    <w:rsid w:val="00177658"/>
    <w:rsid w:val="0018207B"/>
    <w:rsid w:val="00182A3A"/>
    <w:rsid w:val="00182CE8"/>
    <w:rsid w:val="001909A7"/>
    <w:rsid w:val="001917F7"/>
    <w:rsid w:val="00194C24"/>
    <w:rsid w:val="001951B2"/>
    <w:rsid w:val="00195A9B"/>
    <w:rsid w:val="00197D70"/>
    <w:rsid w:val="001A3E00"/>
    <w:rsid w:val="001A5423"/>
    <w:rsid w:val="001A7F43"/>
    <w:rsid w:val="001B3BD7"/>
    <w:rsid w:val="001B48EB"/>
    <w:rsid w:val="001C2B75"/>
    <w:rsid w:val="001C43B5"/>
    <w:rsid w:val="001C662B"/>
    <w:rsid w:val="001C75DD"/>
    <w:rsid w:val="001D0629"/>
    <w:rsid w:val="001D2431"/>
    <w:rsid w:val="001E23F4"/>
    <w:rsid w:val="001E2A6B"/>
    <w:rsid w:val="001E69E5"/>
    <w:rsid w:val="001E722B"/>
    <w:rsid w:val="00206FD7"/>
    <w:rsid w:val="00207C75"/>
    <w:rsid w:val="00210968"/>
    <w:rsid w:val="00211860"/>
    <w:rsid w:val="002131E0"/>
    <w:rsid w:val="002137F6"/>
    <w:rsid w:val="00222968"/>
    <w:rsid w:val="00233916"/>
    <w:rsid w:val="00233D71"/>
    <w:rsid w:val="002342F1"/>
    <w:rsid w:val="002418A9"/>
    <w:rsid w:val="00243A8F"/>
    <w:rsid w:val="00245EEA"/>
    <w:rsid w:val="00252A65"/>
    <w:rsid w:val="00253D91"/>
    <w:rsid w:val="00264245"/>
    <w:rsid w:val="00272059"/>
    <w:rsid w:val="00272151"/>
    <w:rsid w:val="00290B90"/>
    <w:rsid w:val="00291EEA"/>
    <w:rsid w:val="00293EA0"/>
    <w:rsid w:val="00295684"/>
    <w:rsid w:val="00295CFA"/>
    <w:rsid w:val="002A17BE"/>
    <w:rsid w:val="002A3CD8"/>
    <w:rsid w:val="002A51A0"/>
    <w:rsid w:val="002A7B71"/>
    <w:rsid w:val="002B4656"/>
    <w:rsid w:val="002B56DD"/>
    <w:rsid w:val="002C0C7F"/>
    <w:rsid w:val="002C4D42"/>
    <w:rsid w:val="002C4F52"/>
    <w:rsid w:val="002C6675"/>
    <w:rsid w:val="002C7090"/>
    <w:rsid w:val="002C7458"/>
    <w:rsid w:val="002D1220"/>
    <w:rsid w:val="002D1A63"/>
    <w:rsid w:val="002D3498"/>
    <w:rsid w:val="002D5329"/>
    <w:rsid w:val="002D7081"/>
    <w:rsid w:val="002D795D"/>
    <w:rsid w:val="002D7A71"/>
    <w:rsid w:val="002E23F6"/>
    <w:rsid w:val="002E3019"/>
    <w:rsid w:val="002E3E51"/>
    <w:rsid w:val="0030010C"/>
    <w:rsid w:val="00301A78"/>
    <w:rsid w:val="00305CF0"/>
    <w:rsid w:val="00306D93"/>
    <w:rsid w:val="0031330D"/>
    <w:rsid w:val="00325209"/>
    <w:rsid w:val="0032792B"/>
    <w:rsid w:val="00332842"/>
    <w:rsid w:val="00332BFA"/>
    <w:rsid w:val="00333227"/>
    <w:rsid w:val="00333851"/>
    <w:rsid w:val="00340B0C"/>
    <w:rsid w:val="00343DBC"/>
    <w:rsid w:val="00345638"/>
    <w:rsid w:val="003522B2"/>
    <w:rsid w:val="0035311F"/>
    <w:rsid w:val="00353FE5"/>
    <w:rsid w:val="00357205"/>
    <w:rsid w:val="0036093A"/>
    <w:rsid w:val="00371FB8"/>
    <w:rsid w:val="003737A1"/>
    <w:rsid w:val="00381133"/>
    <w:rsid w:val="00384D23"/>
    <w:rsid w:val="00385053"/>
    <w:rsid w:val="00386298"/>
    <w:rsid w:val="00397ADD"/>
    <w:rsid w:val="003A35F4"/>
    <w:rsid w:val="003A6769"/>
    <w:rsid w:val="003B3DFB"/>
    <w:rsid w:val="003B582C"/>
    <w:rsid w:val="003C2EFB"/>
    <w:rsid w:val="003C3BD9"/>
    <w:rsid w:val="003C4615"/>
    <w:rsid w:val="003C5514"/>
    <w:rsid w:val="003D571B"/>
    <w:rsid w:val="003E21EE"/>
    <w:rsid w:val="003E3ADF"/>
    <w:rsid w:val="003E5FA5"/>
    <w:rsid w:val="003F23F9"/>
    <w:rsid w:val="003F41BF"/>
    <w:rsid w:val="00403744"/>
    <w:rsid w:val="00404102"/>
    <w:rsid w:val="00404559"/>
    <w:rsid w:val="004103E6"/>
    <w:rsid w:val="00413E4F"/>
    <w:rsid w:val="004228DE"/>
    <w:rsid w:val="00426B01"/>
    <w:rsid w:val="00436EB5"/>
    <w:rsid w:val="00437E77"/>
    <w:rsid w:val="004417A2"/>
    <w:rsid w:val="004435D9"/>
    <w:rsid w:val="004451A8"/>
    <w:rsid w:val="00452E91"/>
    <w:rsid w:val="00453C32"/>
    <w:rsid w:val="00460D6C"/>
    <w:rsid w:val="004666E9"/>
    <w:rsid w:val="00467627"/>
    <w:rsid w:val="00467DD0"/>
    <w:rsid w:val="0048262F"/>
    <w:rsid w:val="004845E6"/>
    <w:rsid w:val="00487E95"/>
    <w:rsid w:val="0049359C"/>
    <w:rsid w:val="00494056"/>
    <w:rsid w:val="004942D9"/>
    <w:rsid w:val="004A6871"/>
    <w:rsid w:val="004B2C29"/>
    <w:rsid w:val="004B6E83"/>
    <w:rsid w:val="004B6E9B"/>
    <w:rsid w:val="004D31B2"/>
    <w:rsid w:val="004D3B50"/>
    <w:rsid w:val="004D47EE"/>
    <w:rsid w:val="004D65E0"/>
    <w:rsid w:val="004D6DE6"/>
    <w:rsid w:val="004E6B00"/>
    <w:rsid w:val="004E7BDF"/>
    <w:rsid w:val="004F357E"/>
    <w:rsid w:val="004F40A3"/>
    <w:rsid w:val="004F4BD6"/>
    <w:rsid w:val="004F5700"/>
    <w:rsid w:val="00502206"/>
    <w:rsid w:val="005039E4"/>
    <w:rsid w:val="00504C8B"/>
    <w:rsid w:val="00505F12"/>
    <w:rsid w:val="00507C26"/>
    <w:rsid w:val="005143CF"/>
    <w:rsid w:val="00516DDC"/>
    <w:rsid w:val="005176FD"/>
    <w:rsid w:val="00523482"/>
    <w:rsid w:val="00524869"/>
    <w:rsid w:val="00524DAE"/>
    <w:rsid w:val="005251B2"/>
    <w:rsid w:val="005325D1"/>
    <w:rsid w:val="00533CA1"/>
    <w:rsid w:val="0053698E"/>
    <w:rsid w:val="00542BE5"/>
    <w:rsid w:val="00544C59"/>
    <w:rsid w:val="00544C8E"/>
    <w:rsid w:val="0055001C"/>
    <w:rsid w:val="00551B19"/>
    <w:rsid w:val="00552215"/>
    <w:rsid w:val="005606B4"/>
    <w:rsid w:val="00561E9D"/>
    <w:rsid w:val="00562ED9"/>
    <w:rsid w:val="005655AF"/>
    <w:rsid w:val="00566E4F"/>
    <w:rsid w:val="00580BF9"/>
    <w:rsid w:val="005822D5"/>
    <w:rsid w:val="0058482B"/>
    <w:rsid w:val="00594250"/>
    <w:rsid w:val="00595694"/>
    <w:rsid w:val="005B1469"/>
    <w:rsid w:val="005B1513"/>
    <w:rsid w:val="005B3525"/>
    <w:rsid w:val="005B65A7"/>
    <w:rsid w:val="005B7206"/>
    <w:rsid w:val="005C04F3"/>
    <w:rsid w:val="005C183A"/>
    <w:rsid w:val="005C2C62"/>
    <w:rsid w:val="005C466B"/>
    <w:rsid w:val="005C4735"/>
    <w:rsid w:val="005C53DB"/>
    <w:rsid w:val="005C6795"/>
    <w:rsid w:val="005C6C13"/>
    <w:rsid w:val="005C71B3"/>
    <w:rsid w:val="005D2995"/>
    <w:rsid w:val="005E2D16"/>
    <w:rsid w:val="005E3E85"/>
    <w:rsid w:val="005E53BC"/>
    <w:rsid w:val="005E777A"/>
    <w:rsid w:val="005F3435"/>
    <w:rsid w:val="005F4A6D"/>
    <w:rsid w:val="005F6ACD"/>
    <w:rsid w:val="00601E13"/>
    <w:rsid w:val="00605BFC"/>
    <w:rsid w:val="0060688B"/>
    <w:rsid w:val="006175BB"/>
    <w:rsid w:val="0061787A"/>
    <w:rsid w:val="006273F7"/>
    <w:rsid w:val="006310FB"/>
    <w:rsid w:val="00637FF5"/>
    <w:rsid w:val="00640772"/>
    <w:rsid w:val="006418C1"/>
    <w:rsid w:val="0064219D"/>
    <w:rsid w:val="00642D3E"/>
    <w:rsid w:val="00642E32"/>
    <w:rsid w:val="0064347B"/>
    <w:rsid w:val="006462C6"/>
    <w:rsid w:val="00647F27"/>
    <w:rsid w:val="00652BE5"/>
    <w:rsid w:val="006545FE"/>
    <w:rsid w:val="006557BC"/>
    <w:rsid w:val="00662691"/>
    <w:rsid w:val="00662CA6"/>
    <w:rsid w:val="00675FB2"/>
    <w:rsid w:val="00680368"/>
    <w:rsid w:val="00686617"/>
    <w:rsid w:val="00686A39"/>
    <w:rsid w:val="0069167E"/>
    <w:rsid w:val="006949BD"/>
    <w:rsid w:val="00697597"/>
    <w:rsid w:val="006A1A73"/>
    <w:rsid w:val="006A262C"/>
    <w:rsid w:val="006A5CAA"/>
    <w:rsid w:val="006A6C85"/>
    <w:rsid w:val="006B341B"/>
    <w:rsid w:val="006C19B6"/>
    <w:rsid w:val="006C61D1"/>
    <w:rsid w:val="006D1A8A"/>
    <w:rsid w:val="006D4C5A"/>
    <w:rsid w:val="006D69F1"/>
    <w:rsid w:val="006E00AF"/>
    <w:rsid w:val="006E2CB8"/>
    <w:rsid w:val="006E3C1F"/>
    <w:rsid w:val="006E49F6"/>
    <w:rsid w:val="006E61C9"/>
    <w:rsid w:val="006F0678"/>
    <w:rsid w:val="006F2EE3"/>
    <w:rsid w:val="006F3DE6"/>
    <w:rsid w:val="006F5BEC"/>
    <w:rsid w:val="006F621B"/>
    <w:rsid w:val="006F6FD1"/>
    <w:rsid w:val="006F7682"/>
    <w:rsid w:val="0070243F"/>
    <w:rsid w:val="00711240"/>
    <w:rsid w:val="007127E9"/>
    <w:rsid w:val="007171F9"/>
    <w:rsid w:val="007254E7"/>
    <w:rsid w:val="00725CA8"/>
    <w:rsid w:val="00725D8A"/>
    <w:rsid w:val="0072637D"/>
    <w:rsid w:val="00726F91"/>
    <w:rsid w:val="00730E92"/>
    <w:rsid w:val="00744FE3"/>
    <w:rsid w:val="007469C5"/>
    <w:rsid w:val="00747FB5"/>
    <w:rsid w:val="00752037"/>
    <w:rsid w:val="00756E7D"/>
    <w:rsid w:val="00761301"/>
    <w:rsid w:val="007615CA"/>
    <w:rsid w:val="00767911"/>
    <w:rsid w:val="00770900"/>
    <w:rsid w:val="00772FFE"/>
    <w:rsid w:val="0077577C"/>
    <w:rsid w:val="00776AE5"/>
    <w:rsid w:val="00777014"/>
    <w:rsid w:val="00787D25"/>
    <w:rsid w:val="00792AF1"/>
    <w:rsid w:val="0079378D"/>
    <w:rsid w:val="00794369"/>
    <w:rsid w:val="00796E53"/>
    <w:rsid w:val="007975A2"/>
    <w:rsid w:val="00797845"/>
    <w:rsid w:val="007A1AF0"/>
    <w:rsid w:val="007A3244"/>
    <w:rsid w:val="007A4873"/>
    <w:rsid w:val="007B128E"/>
    <w:rsid w:val="007B25F0"/>
    <w:rsid w:val="007C0ADD"/>
    <w:rsid w:val="007C268B"/>
    <w:rsid w:val="007C3FDE"/>
    <w:rsid w:val="007C55DF"/>
    <w:rsid w:val="007C7828"/>
    <w:rsid w:val="007D3418"/>
    <w:rsid w:val="007E4668"/>
    <w:rsid w:val="007E730F"/>
    <w:rsid w:val="007F689A"/>
    <w:rsid w:val="00803C20"/>
    <w:rsid w:val="008077D3"/>
    <w:rsid w:val="00810232"/>
    <w:rsid w:val="00810330"/>
    <w:rsid w:val="00810C22"/>
    <w:rsid w:val="008120C9"/>
    <w:rsid w:val="008134EC"/>
    <w:rsid w:val="008144A8"/>
    <w:rsid w:val="008148CE"/>
    <w:rsid w:val="0082232C"/>
    <w:rsid w:val="00822BDB"/>
    <w:rsid w:val="00826E9F"/>
    <w:rsid w:val="0082738F"/>
    <w:rsid w:val="00840053"/>
    <w:rsid w:val="008405CB"/>
    <w:rsid w:val="00842A5E"/>
    <w:rsid w:val="008432E8"/>
    <w:rsid w:val="00857085"/>
    <w:rsid w:val="00860BFD"/>
    <w:rsid w:val="00861855"/>
    <w:rsid w:val="0086272B"/>
    <w:rsid w:val="008631E3"/>
    <w:rsid w:val="00867FB3"/>
    <w:rsid w:val="00880800"/>
    <w:rsid w:val="0089448B"/>
    <w:rsid w:val="00895004"/>
    <w:rsid w:val="00897681"/>
    <w:rsid w:val="008A0E27"/>
    <w:rsid w:val="008A3DB5"/>
    <w:rsid w:val="008A4F0E"/>
    <w:rsid w:val="008B15B2"/>
    <w:rsid w:val="008B1E51"/>
    <w:rsid w:val="008B2D54"/>
    <w:rsid w:val="008C08DD"/>
    <w:rsid w:val="008C1D7B"/>
    <w:rsid w:val="008D2727"/>
    <w:rsid w:val="008E6D43"/>
    <w:rsid w:val="008E76D5"/>
    <w:rsid w:val="008F1023"/>
    <w:rsid w:val="008F148E"/>
    <w:rsid w:val="008F1640"/>
    <w:rsid w:val="00900C60"/>
    <w:rsid w:val="00907EBE"/>
    <w:rsid w:val="0091302F"/>
    <w:rsid w:val="00914952"/>
    <w:rsid w:val="009155B6"/>
    <w:rsid w:val="00922446"/>
    <w:rsid w:val="00923409"/>
    <w:rsid w:val="00924006"/>
    <w:rsid w:val="0092482F"/>
    <w:rsid w:val="00927898"/>
    <w:rsid w:val="009305FC"/>
    <w:rsid w:val="00930C23"/>
    <w:rsid w:val="00934251"/>
    <w:rsid w:val="0093562F"/>
    <w:rsid w:val="0095080A"/>
    <w:rsid w:val="00960878"/>
    <w:rsid w:val="00962386"/>
    <w:rsid w:val="009629AC"/>
    <w:rsid w:val="00963425"/>
    <w:rsid w:val="00970BD4"/>
    <w:rsid w:val="009820BD"/>
    <w:rsid w:val="00985035"/>
    <w:rsid w:val="00987D16"/>
    <w:rsid w:val="00987D75"/>
    <w:rsid w:val="00990FF6"/>
    <w:rsid w:val="00991ED3"/>
    <w:rsid w:val="00991F3D"/>
    <w:rsid w:val="00996661"/>
    <w:rsid w:val="009A2CD1"/>
    <w:rsid w:val="009A4834"/>
    <w:rsid w:val="009A5C31"/>
    <w:rsid w:val="009A6029"/>
    <w:rsid w:val="009A6176"/>
    <w:rsid w:val="009A6E80"/>
    <w:rsid w:val="009B3292"/>
    <w:rsid w:val="009B3C25"/>
    <w:rsid w:val="009B7AF6"/>
    <w:rsid w:val="009C268D"/>
    <w:rsid w:val="009C5204"/>
    <w:rsid w:val="009C71C6"/>
    <w:rsid w:val="009D12BD"/>
    <w:rsid w:val="009D48DD"/>
    <w:rsid w:val="009D4F06"/>
    <w:rsid w:val="009D5CF5"/>
    <w:rsid w:val="009E1867"/>
    <w:rsid w:val="009E396D"/>
    <w:rsid w:val="009F3256"/>
    <w:rsid w:val="009F32BA"/>
    <w:rsid w:val="009F6504"/>
    <w:rsid w:val="009F7ED7"/>
    <w:rsid w:val="00A02153"/>
    <w:rsid w:val="00A026C7"/>
    <w:rsid w:val="00A06F1F"/>
    <w:rsid w:val="00A113D0"/>
    <w:rsid w:val="00A13D9F"/>
    <w:rsid w:val="00A141BA"/>
    <w:rsid w:val="00A15C78"/>
    <w:rsid w:val="00A169EA"/>
    <w:rsid w:val="00A1733C"/>
    <w:rsid w:val="00A2087F"/>
    <w:rsid w:val="00A34C34"/>
    <w:rsid w:val="00A46D85"/>
    <w:rsid w:val="00A47D04"/>
    <w:rsid w:val="00A501A7"/>
    <w:rsid w:val="00A6435B"/>
    <w:rsid w:val="00A65444"/>
    <w:rsid w:val="00A6616F"/>
    <w:rsid w:val="00A70A7D"/>
    <w:rsid w:val="00A80D7F"/>
    <w:rsid w:val="00A85E88"/>
    <w:rsid w:val="00A8748E"/>
    <w:rsid w:val="00A92FE9"/>
    <w:rsid w:val="00A93A10"/>
    <w:rsid w:val="00A9771C"/>
    <w:rsid w:val="00AA024F"/>
    <w:rsid w:val="00AA0C48"/>
    <w:rsid w:val="00AA2EFE"/>
    <w:rsid w:val="00AB13A3"/>
    <w:rsid w:val="00AB2BE4"/>
    <w:rsid w:val="00AB5D5F"/>
    <w:rsid w:val="00AC439D"/>
    <w:rsid w:val="00AC6D55"/>
    <w:rsid w:val="00AC71D3"/>
    <w:rsid w:val="00AD4564"/>
    <w:rsid w:val="00AD5E4A"/>
    <w:rsid w:val="00AE29A5"/>
    <w:rsid w:val="00AF4DF9"/>
    <w:rsid w:val="00B015A5"/>
    <w:rsid w:val="00B01FFF"/>
    <w:rsid w:val="00B0677A"/>
    <w:rsid w:val="00B06F3E"/>
    <w:rsid w:val="00B101EB"/>
    <w:rsid w:val="00B1107E"/>
    <w:rsid w:val="00B20329"/>
    <w:rsid w:val="00B2656D"/>
    <w:rsid w:val="00B2702A"/>
    <w:rsid w:val="00B27C4C"/>
    <w:rsid w:val="00B31248"/>
    <w:rsid w:val="00B316A7"/>
    <w:rsid w:val="00B31C39"/>
    <w:rsid w:val="00B3346B"/>
    <w:rsid w:val="00B335E2"/>
    <w:rsid w:val="00B34B7E"/>
    <w:rsid w:val="00B36F71"/>
    <w:rsid w:val="00B37A5C"/>
    <w:rsid w:val="00B42502"/>
    <w:rsid w:val="00B44B2B"/>
    <w:rsid w:val="00B44E9E"/>
    <w:rsid w:val="00B46080"/>
    <w:rsid w:val="00B4754B"/>
    <w:rsid w:val="00B512EB"/>
    <w:rsid w:val="00B57D8D"/>
    <w:rsid w:val="00B619E1"/>
    <w:rsid w:val="00B65AA6"/>
    <w:rsid w:val="00B674E2"/>
    <w:rsid w:val="00B741A7"/>
    <w:rsid w:val="00B801B0"/>
    <w:rsid w:val="00B81678"/>
    <w:rsid w:val="00B86EEE"/>
    <w:rsid w:val="00B878E5"/>
    <w:rsid w:val="00B87E5A"/>
    <w:rsid w:val="00BA12ED"/>
    <w:rsid w:val="00BA213F"/>
    <w:rsid w:val="00BA344B"/>
    <w:rsid w:val="00BA41F7"/>
    <w:rsid w:val="00BA64AF"/>
    <w:rsid w:val="00BB1FC3"/>
    <w:rsid w:val="00BB3374"/>
    <w:rsid w:val="00BB4837"/>
    <w:rsid w:val="00BB61B3"/>
    <w:rsid w:val="00BC76D5"/>
    <w:rsid w:val="00BD3127"/>
    <w:rsid w:val="00BD5A89"/>
    <w:rsid w:val="00BE241E"/>
    <w:rsid w:val="00BE7236"/>
    <w:rsid w:val="00BE7F24"/>
    <w:rsid w:val="00BF72D1"/>
    <w:rsid w:val="00C014CD"/>
    <w:rsid w:val="00C0186E"/>
    <w:rsid w:val="00C0201E"/>
    <w:rsid w:val="00C0444D"/>
    <w:rsid w:val="00C073A9"/>
    <w:rsid w:val="00C12F6E"/>
    <w:rsid w:val="00C15FE7"/>
    <w:rsid w:val="00C2743B"/>
    <w:rsid w:val="00C31281"/>
    <w:rsid w:val="00C340DB"/>
    <w:rsid w:val="00C40246"/>
    <w:rsid w:val="00C447CB"/>
    <w:rsid w:val="00C47E52"/>
    <w:rsid w:val="00C517C6"/>
    <w:rsid w:val="00C53C69"/>
    <w:rsid w:val="00C568BF"/>
    <w:rsid w:val="00C62433"/>
    <w:rsid w:val="00C6288A"/>
    <w:rsid w:val="00C70E3F"/>
    <w:rsid w:val="00C71EC4"/>
    <w:rsid w:val="00C76B2B"/>
    <w:rsid w:val="00C81963"/>
    <w:rsid w:val="00C82F14"/>
    <w:rsid w:val="00C83FBC"/>
    <w:rsid w:val="00C85E72"/>
    <w:rsid w:val="00C87C6F"/>
    <w:rsid w:val="00C91795"/>
    <w:rsid w:val="00C921FB"/>
    <w:rsid w:val="00C92F04"/>
    <w:rsid w:val="00C940E3"/>
    <w:rsid w:val="00C9470C"/>
    <w:rsid w:val="00C9541E"/>
    <w:rsid w:val="00C96BFB"/>
    <w:rsid w:val="00CA19E4"/>
    <w:rsid w:val="00CA234F"/>
    <w:rsid w:val="00CA24A7"/>
    <w:rsid w:val="00CA684F"/>
    <w:rsid w:val="00CA7479"/>
    <w:rsid w:val="00CB23B9"/>
    <w:rsid w:val="00CB684F"/>
    <w:rsid w:val="00CC11FF"/>
    <w:rsid w:val="00CC1239"/>
    <w:rsid w:val="00CC2AB8"/>
    <w:rsid w:val="00CC68C7"/>
    <w:rsid w:val="00CD1674"/>
    <w:rsid w:val="00CD2F3F"/>
    <w:rsid w:val="00CD551A"/>
    <w:rsid w:val="00CD5B78"/>
    <w:rsid w:val="00CE1B5A"/>
    <w:rsid w:val="00CE583C"/>
    <w:rsid w:val="00CE6737"/>
    <w:rsid w:val="00CE74CE"/>
    <w:rsid w:val="00CF1689"/>
    <w:rsid w:val="00CF5FA4"/>
    <w:rsid w:val="00CF7FE4"/>
    <w:rsid w:val="00D0612B"/>
    <w:rsid w:val="00D12EA6"/>
    <w:rsid w:val="00D12F09"/>
    <w:rsid w:val="00D1401E"/>
    <w:rsid w:val="00D165E2"/>
    <w:rsid w:val="00D16826"/>
    <w:rsid w:val="00D220AA"/>
    <w:rsid w:val="00D2227B"/>
    <w:rsid w:val="00D306EB"/>
    <w:rsid w:val="00D3732F"/>
    <w:rsid w:val="00D41F68"/>
    <w:rsid w:val="00D4598A"/>
    <w:rsid w:val="00D46CCF"/>
    <w:rsid w:val="00D57A5F"/>
    <w:rsid w:val="00D61842"/>
    <w:rsid w:val="00D62366"/>
    <w:rsid w:val="00D63696"/>
    <w:rsid w:val="00D66A08"/>
    <w:rsid w:val="00D676F3"/>
    <w:rsid w:val="00D71EF1"/>
    <w:rsid w:val="00D75BA9"/>
    <w:rsid w:val="00D75DBA"/>
    <w:rsid w:val="00D7723C"/>
    <w:rsid w:val="00D80254"/>
    <w:rsid w:val="00D835AA"/>
    <w:rsid w:val="00D85A05"/>
    <w:rsid w:val="00D862FC"/>
    <w:rsid w:val="00D96115"/>
    <w:rsid w:val="00DA2AEE"/>
    <w:rsid w:val="00DA2F86"/>
    <w:rsid w:val="00DA3735"/>
    <w:rsid w:val="00DB0B23"/>
    <w:rsid w:val="00DC1971"/>
    <w:rsid w:val="00DC3BC8"/>
    <w:rsid w:val="00DC57CF"/>
    <w:rsid w:val="00DD10A0"/>
    <w:rsid w:val="00DD21C3"/>
    <w:rsid w:val="00DD554C"/>
    <w:rsid w:val="00DD5F09"/>
    <w:rsid w:val="00DD75D2"/>
    <w:rsid w:val="00DD7886"/>
    <w:rsid w:val="00DE1186"/>
    <w:rsid w:val="00DE382B"/>
    <w:rsid w:val="00DF088A"/>
    <w:rsid w:val="00DF285B"/>
    <w:rsid w:val="00DF752A"/>
    <w:rsid w:val="00E01FAF"/>
    <w:rsid w:val="00E023FE"/>
    <w:rsid w:val="00E06CF6"/>
    <w:rsid w:val="00E103CD"/>
    <w:rsid w:val="00E123D5"/>
    <w:rsid w:val="00E1277F"/>
    <w:rsid w:val="00E13461"/>
    <w:rsid w:val="00E212D6"/>
    <w:rsid w:val="00E30269"/>
    <w:rsid w:val="00E32E89"/>
    <w:rsid w:val="00E35917"/>
    <w:rsid w:val="00E35F24"/>
    <w:rsid w:val="00E37993"/>
    <w:rsid w:val="00E423F9"/>
    <w:rsid w:val="00E43059"/>
    <w:rsid w:val="00E45997"/>
    <w:rsid w:val="00E51D90"/>
    <w:rsid w:val="00E52319"/>
    <w:rsid w:val="00E55217"/>
    <w:rsid w:val="00E57636"/>
    <w:rsid w:val="00E62BC4"/>
    <w:rsid w:val="00E63F51"/>
    <w:rsid w:val="00E650F2"/>
    <w:rsid w:val="00E65BBF"/>
    <w:rsid w:val="00E66A0B"/>
    <w:rsid w:val="00E710E5"/>
    <w:rsid w:val="00E741FF"/>
    <w:rsid w:val="00E759E6"/>
    <w:rsid w:val="00E75C86"/>
    <w:rsid w:val="00E77020"/>
    <w:rsid w:val="00E77DBE"/>
    <w:rsid w:val="00E80F7A"/>
    <w:rsid w:val="00E8238C"/>
    <w:rsid w:val="00E83B70"/>
    <w:rsid w:val="00E95EEF"/>
    <w:rsid w:val="00EA59F8"/>
    <w:rsid w:val="00EA6A76"/>
    <w:rsid w:val="00EB014F"/>
    <w:rsid w:val="00EB0863"/>
    <w:rsid w:val="00EB1A31"/>
    <w:rsid w:val="00EB57C1"/>
    <w:rsid w:val="00EB60AD"/>
    <w:rsid w:val="00EC799E"/>
    <w:rsid w:val="00ED0687"/>
    <w:rsid w:val="00ED295C"/>
    <w:rsid w:val="00ED29AF"/>
    <w:rsid w:val="00ED42F1"/>
    <w:rsid w:val="00ED5C09"/>
    <w:rsid w:val="00EE37E6"/>
    <w:rsid w:val="00EE4310"/>
    <w:rsid w:val="00EE4D7F"/>
    <w:rsid w:val="00EE503C"/>
    <w:rsid w:val="00EE63B2"/>
    <w:rsid w:val="00EF02F0"/>
    <w:rsid w:val="00EF5A19"/>
    <w:rsid w:val="00F011F8"/>
    <w:rsid w:val="00F05B78"/>
    <w:rsid w:val="00F068F0"/>
    <w:rsid w:val="00F11469"/>
    <w:rsid w:val="00F11FBA"/>
    <w:rsid w:val="00F13302"/>
    <w:rsid w:val="00F1667C"/>
    <w:rsid w:val="00F16911"/>
    <w:rsid w:val="00F22577"/>
    <w:rsid w:val="00F227F4"/>
    <w:rsid w:val="00F24D31"/>
    <w:rsid w:val="00F279AD"/>
    <w:rsid w:val="00F34474"/>
    <w:rsid w:val="00F358B5"/>
    <w:rsid w:val="00F35E23"/>
    <w:rsid w:val="00F3628A"/>
    <w:rsid w:val="00F36730"/>
    <w:rsid w:val="00F41230"/>
    <w:rsid w:val="00F444A9"/>
    <w:rsid w:val="00F4536B"/>
    <w:rsid w:val="00F46F7F"/>
    <w:rsid w:val="00F530E3"/>
    <w:rsid w:val="00F61980"/>
    <w:rsid w:val="00F629DB"/>
    <w:rsid w:val="00F631AF"/>
    <w:rsid w:val="00F63BA0"/>
    <w:rsid w:val="00F74B2C"/>
    <w:rsid w:val="00F762B4"/>
    <w:rsid w:val="00F828D3"/>
    <w:rsid w:val="00F83927"/>
    <w:rsid w:val="00F85AC3"/>
    <w:rsid w:val="00F920D0"/>
    <w:rsid w:val="00F92389"/>
    <w:rsid w:val="00F93017"/>
    <w:rsid w:val="00F9336E"/>
    <w:rsid w:val="00F93EFD"/>
    <w:rsid w:val="00F971A6"/>
    <w:rsid w:val="00FA1556"/>
    <w:rsid w:val="00FA5348"/>
    <w:rsid w:val="00FA79A2"/>
    <w:rsid w:val="00FB00A2"/>
    <w:rsid w:val="00FB08EA"/>
    <w:rsid w:val="00FB0C5F"/>
    <w:rsid w:val="00FB1FD6"/>
    <w:rsid w:val="00FB6FA8"/>
    <w:rsid w:val="00FC3041"/>
    <w:rsid w:val="00FC5ADB"/>
    <w:rsid w:val="00FD4A78"/>
    <w:rsid w:val="00FE2578"/>
    <w:rsid w:val="00FE2EEA"/>
    <w:rsid w:val="00FE37E6"/>
    <w:rsid w:val="00FE413F"/>
    <w:rsid w:val="00FE4CB4"/>
    <w:rsid w:val="00FE4D8A"/>
    <w:rsid w:val="00FE4FFA"/>
    <w:rsid w:val="00FF025B"/>
    <w:rsid w:val="00FF36B1"/>
    <w:rsid w:val="00FF5F7B"/>
    <w:rsid w:val="00FF7514"/>
    <w:rsid w:val="01644BCF"/>
    <w:rsid w:val="02B04BAE"/>
    <w:rsid w:val="033E5F21"/>
    <w:rsid w:val="049BEC91"/>
    <w:rsid w:val="07BA64F6"/>
    <w:rsid w:val="0E29A67A"/>
    <w:rsid w:val="10183DF7"/>
    <w:rsid w:val="116934C2"/>
    <w:rsid w:val="12957B5C"/>
    <w:rsid w:val="132282A3"/>
    <w:rsid w:val="13B734C3"/>
    <w:rsid w:val="13F0DA90"/>
    <w:rsid w:val="147409D8"/>
    <w:rsid w:val="170EE3B6"/>
    <w:rsid w:val="17287B52"/>
    <w:rsid w:val="179ED079"/>
    <w:rsid w:val="193AA0DA"/>
    <w:rsid w:val="1C72419C"/>
    <w:rsid w:val="1FCA5FCE"/>
    <w:rsid w:val="228B647C"/>
    <w:rsid w:val="23AE641C"/>
    <w:rsid w:val="2952069A"/>
    <w:rsid w:val="298A6A71"/>
    <w:rsid w:val="2A44AED5"/>
    <w:rsid w:val="2AEFDDB3"/>
    <w:rsid w:val="2BF8E7E2"/>
    <w:rsid w:val="2CC20B33"/>
    <w:rsid w:val="2CF79A7D"/>
    <w:rsid w:val="2E2C4A8B"/>
    <w:rsid w:val="2E5DDB94"/>
    <w:rsid w:val="31FB579B"/>
    <w:rsid w:val="348B8AC0"/>
    <w:rsid w:val="3561F693"/>
    <w:rsid w:val="37BA0474"/>
    <w:rsid w:val="38E79B8D"/>
    <w:rsid w:val="3DDD6935"/>
    <w:rsid w:val="3FC51659"/>
    <w:rsid w:val="41C504EB"/>
    <w:rsid w:val="42669039"/>
    <w:rsid w:val="4408E2BA"/>
    <w:rsid w:val="4D973516"/>
    <w:rsid w:val="4F5382E7"/>
    <w:rsid w:val="4FE327A9"/>
    <w:rsid w:val="50733BAA"/>
    <w:rsid w:val="50C2879C"/>
    <w:rsid w:val="52954908"/>
    <w:rsid w:val="531AC86B"/>
    <w:rsid w:val="53C4E674"/>
    <w:rsid w:val="55ECF4CE"/>
    <w:rsid w:val="593E2D2C"/>
    <w:rsid w:val="5A86F2F5"/>
    <w:rsid w:val="5B5052B4"/>
    <w:rsid w:val="5CEC2315"/>
    <w:rsid w:val="5CEC4A53"/>
    <w:rsid w:val="5DD7F882"/>
    <w:rsid w:val="5F22DEC2"/>
    <w:rsid w:val="60444147"/>
    <w:rsid w:val="62CBE715"/>
    <w:rsid w:val="634E6957"/>
    <w:rsid w:val="641839AE"/>
    <w:rsid w:val="69CAA61D"/>
    <w:rsid w:val="6AF02157"/>
    <w:rsid w:val="6B66767E"/>
    <w:rsid w:val="6B9BECF3"/>
    <w:rsid w:val="6BC8EAED"/>
    <w:rsid w:val="71C969C6"/>
    <w:rsid w:val="7244ED19"/>
    <w:rsid w:val="7611B47E"/>
    <w:rsid w:val="795CFA99"/>
    <w:rsid w:val="7ADB72AE"/>
    <w:rsid w:val="7BAE1FBE"/>
    <w:rsid w:val="7C77430F"/>
    <w:rsid w:val="7CCDE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960B"/>
  <w15:docId w15:val="{4C5849EA-A230-49E5-B46B-64853B38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F1"/>
    <w:rPr>
      <w:rFonts w:ascii="Cambria" w:eastAsia="Cambria" w:hAnsi="Cambria"/>
      <w:sz w:val="24"/>
      <w:szCs w:val="24"/>
    </w:rPr>
  </w:style>
  <w:style w:type="paragraph" w:styleId="Heading1">
    <w:name w:val="heading 1"/>
    <w:basedOn w:val="Normal"/>
    <w:link w:val="Heading1Char"/>
    <w:uiPriority w:val="9"/>
    <w:qFormat/>
    <w:rsid w:val="00306D93"/>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183A"/>
    <w:rPr>
      <w:rFonts w:ascii="Tahoma" w:hAnsi="Tahoma" w:cs="Tahoma"/>
      <w:sz w:val="16"/>
      <w:szCs w:val="16"/>
    </w:rPr>
  </w:style>
  <w:style w:type="character" w:styleId="CommentReference">
    <w:name w:val="annotation reference"/>
    <w:uiPriority w:val="99"/>
    <w:rsid w:val="00EB0863"/>
    <w:rPr>
      <w:sz w:val="16"/>
      <w:szCs w:val="16"/>
    </w:rPr>
  </w:style>
  <w:style w:type="paragraph" w:styleId="CommentText">
    <w:name w:val="annotation text"/>
    <w:basedOn w:val="Normal"/>
    <w:link w:val="CommentTextChar"/>
    <w:uiPriority w:val="99"/>
    <w:rsid w:val="00EB0863"/>
    <w:rPr>
      <w:sz w:val="20"/>
      <w:szCs w:val="20"/>
    </w:rPr>
  </w:style>
  <w:style w:type="character" w:customStyle="1" w:styleId="CommentTextChar">
    <w:name w:val="Comment Text Char"/>
    <w:link w:val="CommentText"/>
    <w:uiPriority w:val="99"/>
    <w:rsid w:val="00EB0863"/>
    <w:rPr>
      <w:rFonts w:ascii="Cambria" w:eastAsia="Cambria" w:hAnsi="Cambria"/>
    </w:rPr>
  </w:style>
  <w:style w:type="paragraph" w:styleId="CommentSubject">
    <w:name w:val="annotation subject"/>
    <w:basedOn w:val="CommentText"/>
    <w:next w:val="CommentText"/>
    <w:link w:val="CommentSubjectChar"/>
    <w:rsid w:val="00EB0863"/>
    <w:rPr>
      <w:b/>
      <w:bCs/>
    </w:rPr>
  </w:style>
  <w:style w:type="character" w:customStyle="1" w:styleId="CommentSubjectChar">
    <w:name w:val="Comment Subject Char"/>
    <w:link w:val="CommentSubject"/>
    <w:rsid w:val="00EB0863"/>
    <w:rPr>
      <w:rFonts w:ascii="Cambria" w:eastAsia="Cambria" w:hAnsi="Cambria"/>
      <w:b/>
      <w:bCs/>
    </w:rPr>
  </w:style>
  <w:style w:type="paragraph" w:customStyle="1" w:styleId="Style1">
    <w:name w:val="Style1"/>
    <w:basedOn w:val="Normal"/>
    <w:link w:val="Style1Char"/>
    <w:qFormat/>
    <w:rsid w:val="0001445C"/>
    <w:pPr>
      <w:widowControl w:val="0"/>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GaramondITCbyBT-Book" w:eastAsia="Times New Roman" w:hAnsi="GaramondITCbyBT-Book" w:cs="GaramondITCbyBT-Book"/>
      <w:color w:val="000000"/>
      <w:sz w:val="18"/>
      <w:szCs w:val="18"/>
    </w:rPr>
  </w:style>
  <w:style w:type="character" w:customStyle="1" w:styleId="Style1Char">
    <w:name w:val="Style1 Char"/>
    <w:link w:val="Style1"/>
    <w:rsid w:val="0001445C"/>
    <w:rPr>
      <w:rFonts w:ascii="GaramondITCbyBT-Book" w:hAnsi="GaramondITCbyBT-Book" w:cs="GaramondITCbyBT-Book"/>
      <w:color w:val="000000"/>
      <w:sz w:val="18"/>
      <w:szCs w:val="18"/>
    </w:rPr>
  </w:style>
  <w:style w:type="paragraph" w:styleId="Header">
    <w:name w:val="header"/>
    <w:basedOn w:val="Normal"/>
    <w:link w:val="HeaderChar"/>
    <w:rsid w:val="00C53C69"/>
    <w:pPr>
      <w:tabs>
        <w:tab w:val="center" w:pos="4680"/>
        <w:tab w:val="right" w:pos="9360"/>
      </w:tabs>
    </w:pPr>
  </w:style>
  <w:style w:type="character" w:customStyle="1" w:styleId="HeaderChar">
    <w:name w:val="Header Char"/>
    <w:link w:val="Header"/>
    <w:rsid w:val="00C53C69"/>
    <w:rPr>
      <w:rFonts w:ascii="Cambria" w:eastAsia="Cambria" w:hAnsi="Cambria"/>
      <w:sz w:val="24"/>
      <w:szCs w:val="24"/>
    </w:rPr>
  </w:style>
  <w:style w:type="paragraph" w:styleId="Footer">
    <w:name w:val="footer"/>
    <w:basedOn w:val="Normal"/>
    <w:link w:val="FooterChar"/>
    <w:uiPriority w:val="99"/>
    <w:rsid w:val="00C53C69"/>
    <w:pPr>
      <w:tabs>
        <w:tab w:val="center" w:pos="4680"/>
        <w:tab w:val="right" w:pos="9360"/>
      </w:tabs>
    </w:pPr>
  </w:style>
  <w:style w:type="character" w:customStyle="1" w:styleId="FooterChar">
    <w:name w:val="Footer Char"/>
    <w:link w:val="Footer"/>
    <w:uiPriority w:val="99"/>
    <w:rsid w:val="00C53C69"/>
    <w:rPr>
      <w:rFonts w:ascii="Cambria" w:eastAsia="Cambria" w:hAnsi="Cambria"/>
      <w:sz w:val="24"/>
      <w:szCs w:val="24"/>
    </w:rPr>
  </w:style>
  <w:style w:type="character" w:styleId="Strong">
    <w:name w:val="Strong"/>
    <w:basedOn w:val="DefaultParagraphFont"/>
    <w:uiPriority w:val="22"/>
    <w:qFormat/>
    <w:rsid w:val="00ED295C"/>
    <w:rPr>
      <w:b/>
      <w:bCs/>
    </w:rPr>
  </w:style>
  <w:style w:type="paragraph" w:styleId="ListParagraph">
    <w:name w:val="List Paragraph"/>
    <w:basedOn w:val="Normal"/>
    <w:link w:val="ListParagraphChar"/>
    <w:uiPriority w:val="34"/>
    <w:qFormat/>
    <w:rsid w:val="00FF5F7B"/>
    <w:pPr>
      <w:ind w:left="720"/>
      <w:contextualSpacing/>
    </w:pPr>
  </w:style>
  <w:style w:type="paragraph" w:customStyle="1" w:styleId="BasicParagraph">
    <w:name w:val="[Basic Paragraph]"/>
    <w:basedOn w:val="Normal"/>
    <w:rsid w:val="00A141BA"/>
    <w:pPr>
      <w:widowControl w:val="0"/>
      <w:suppressAutoHyphens/>
      <w:spacing w:line="288" w:lineRule="auto"/>
      <w:textAlignment w:val="center"/>
    </w:pPr>
    <w:rPr>
      <w:rFonts w:ascii="MinionPro-Regular" w:eastAsia="Times New Roman" w:hAnsi="MinionPro-Regular" w:cs="MinionPro-Regular"/>
      <w:color w:val="000000"/>
      <w:lang w:val="en-GB"/>
    </w:rPr>
  </w:style>
  <w:style w:type="character" w:customStyle="1" w:styleId="apple-converted-space">
    <w:name w:val="apple-converted-space"/>
    <w:rsid w:val="00DD75D2"/>
  </w:style>
  <w:style w:type="character" w:customStyle="1" w:styleId="xn-location">
    <w:name w:val="xn-location"/>
    <w:rsid w:val="00DD75D2"/>
  </w:style>
  <w:style w:type="paragraph" w:styleId="Revision">
    <w:name w:val="Revision"/>
    <w:hidden/>
    <w:uiPriority w:val="99"/>
    <w:semiHidden/>
    <w:rsid w:val="008148CE"/>
    <w:rPr>
      <w:rFonts w:ascii="Cambria" w:eastAsia="Cambria" w:hAnsi="Cambria"/>
      <w:sz w:val="24"/>
      <w:szCs w:val="24"/>
    </w:rPr>
  </w:style>
  <w:style w:type="character" w:customStyle="1" w:styleId="Heading1Char">
    <w:name w:val="Heading 1 Char"/>
    <w:basedOn w:val="DefaultParagraphFont"/>
    <w:link w:val="Heading1"/>
    <w:uiPriority w:val="9"/>
    <w:rsid w:val="00306D93"/>
    <w:rPr>
      <w:b/>
      <w:bCs/>
      <w:kern w:val="36"/>
      <w:sz w:val="48"/>
      <w:szCs w:val="48"/>
    </w:rPr>
  </w:style>
  <w:style w:type="paragraph" w:customStyle="1" w:styleId="Default">
    <w:name w:val="Default"/>
    <w:rsid w:val="00EE4D7F"/>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5325D1"/>
    <w:rPr>
      <w:color w:val="0000FF" w:themeColor="hyperlink"/>
      <w:u w:val="single"/>
    </w:rPr>
  </w:style>
  <w:style w:type="character" w:customStyle="1" w:styleId="UnresolvedMention1">
    <w:name w:val="Unresolved Mention1"/>
    <w:basedOn w:val="DefaultParagraphFont"/>
    <w:uiPriority w:val="99"/>
    <w:semiHidden/>
    <w:unhideWhenUsed/>
    <w:rsid w:val="005325D1"/>
    <w:rPr>
      <w:color w:val="605E5C"/>
      <w:shd w:val="clear" w:color="auto" w:fill="E1DFDD"/>
    </w:rPr>
  </w:style>
  <w:style w:type="character" w:customStyle="1" w:styleId="markedcontent">
    <w:name w:val="markedcontent"/>
    <w:basedOn w:val="DefaultParagraphFont"/>
    <w:rsid w:val="001711E4"/>
  </w:style>
  <w:style w:type="paragraph" w:customStyle="1" w:styleId="paragraph">
    <w:name w:val="paragraph"/>
    <w:basedOn w:val="Normal"/>
    <w:rsid w:val="001E722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1E722B"/>
  </w:style>
  <w:style w:type="character" w:customStyle="1" w:styleId="eop">
    <w:name w:val="eop"/>
    <w:basedOn w:val="DefaultParagraphFont"/>
    <w:rsid w:val="001E722B"/>
  </w:style>
  <w:style w:type="paragraph" w:styleId="NormalWeb">
    <w:name w:val="Normal (Web)"/>
    <w:basedOn w:val="Normal"/>
    <w:uiPriority w:val="99"/>
    <w:unhideWhenUsed/>
    <w:rsid w:val="00000E1C"/>
    <w:pPr>
      <w:spacing w:before="100" w:beforeAutospacing="1" w:after="100" w:afterAutospacing="1"/>
    </w:pPr>
    <w:rPr>
      <w:rFonts w:ascii="Times New Roman" w:eastAsiaTheme="minorEastAsia" w:hAnsi="Times New Roman" w:cstheme="minorBidi"/>
    </w:rPr>
  </w:style>
  <w:style w:type="character" w:customStyle="1" w:styleId="FootnoteTextChar">
    <w:name w:val="Footnote Text Char"/>
    <w:basedOn w:val="DefaultParagraphFont"/>
    <w:link w:val="FootnoteText"/>
    <w:uiPriority w:val="99"/>
    <w:rsid w:val="00000E1C"/>
  </w:style>
  <w:style w:type="paragraph" w:styleId="FootnoteText">
    <w:name w:val="footnote text"/>
    <w:basedOn w:val="Normal"/>
    <w:link w:val="FootnoteTextChar"/>
    <w:uiPriority w:val="99"/>
    <w:unhideWhenUsed/>
    <w:rsid w:val="00000E1C"/>
    <w:rPr>
      <w:rFonts w:ascii="Times New Roman" w:eastAsia="Times New Roman" w:hAnsi="Times New Roman"/>
      <w:sz w:val="20"/>
      <w:szCs w:val="20"/>
    </w:rPr>
  </w:style>
  <w:style w:type="character" w:customStyle="1" w:styleId="FootnoteTextChar1">
    <w:name w:val="Footnote Text Char1"/>
    <w:basedOn w:val="DefaultParagraphFont"/>
    <w:semiHidden/>
    <w:rsid w:val="00000E1C"/>
    <w:rPr>
      <w:rFonts w:ascii="Cambria" w:eastAsia="Cambria" w:hAnsi="Cambria"/>
    </w:rPr>
  </w:style>
  <w:style w:type="character" w:styleId="FootnoteReference">
    <w:name w:val="footnote reference"/>
    <w:basedOn w:val="DefaultParagraphFont"/>
    <w:uiPriority w:val="99"/>
    <w:unhideWhenUsed/>
    <w:rsid w:val="00000E1C"/>
    <w:rPr>
      <w:vertAlign w:val="superscript"/>
    </w:rPr>
  </w:style>
  <w:style w:type="paragraph" w:customStyle="1" w:styleId="IssueCopy">
    <w:name w:val="Issue Copy"/>
    <w:qFormat/>
    <w:rsid w:val="00000E1C"/>
    <w:pPr>
      <w:spacing w:line="360" w:lineRule="auto"/>
    </w:pPr>
    <w:rPr>
      <w:rFonts w:ascii="Arial" w:eastAsiaTheme="minorEastAsia" w:hAnsi="Arial" w:cs="Metric-Light"/>
      <w:sz w:val="18"/>
    </w:rPr>
  </w:style>
  <w:style w:type="paragraph" w:styleId="NoSpacing">
    <w:name w:val="No Spacing"/>
    <w:uiPriority w:val="1"/>
    <w:qFormat/>
    <w:rsid w:val="00000E1C"/>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locked/>
    <w:rsid w:val="00000E1C"/>
    <w:rPr>
      <w:rFonts w:ascii="Cambria" w:eastAsia="Cambria" w:hAnsi="Cambria"/>
      <w:sz w:val="24"/>
      <w:szCs w:val="24"/>
    </w:rPr>
  </w:style>
  <w:style w:type="paragraph" w:customStyle="1" w:styleId="pf0">
    <w:name w:val="pf0"/>
    <w:basedOn w:val="Normal"/>
    <w:rsid w:val="00000E1C"/>
    <w:pPr>
      <w:spacing w:before="100" w:beforeAutospacing="1" w:after="100" w:afterAutospacing="1"/>
    </w:pPr>
    <w:rPr>
      <w:rFonts w:ascii="Times New Roman" w:eastAsia="Times New Roman" w:hAnsi="Times New Roman"/>
    </w:rPr>
  </w:style>
  <w:style w:type="character" w:customStyle="1" w:styleId="cf01">
    <w:name w:val="cf01"/>
    <w:basedOn w:val="DefaultParagraphFont"/>
    <w:rsid w:val="00000E1C"/>
    <w:rPr>
      <w:rFonts w:ascii="Segoe UI" w:hAnsi="Segoe UI" w:cs="Segoe UI" w:hint="default"/>
      <w:sz w:val="18"/>
      <w:szCs w:val="18"/>
    </w:rPr>
  </w:style>
  <w:style w:type="character" w:customStyle="1" w:styleId="UnresolvedMention2">
    <w:name w:val="Unresolved Mention2"/>
    <w:basedOn w:val="DefaultParagraphFont"/>
    <w:rsid w:val="0082232C"/>
    <w:rPr>
      <w:color w:val="605E5C"/>
      <w:shd w:val="clear" w:color="auto" w:fill="E1DFDD"/>
    </w:rPr>
  </w:style>
  <w:style w:type="character" w:styleId="FollowedHyperlink">
    <w:name w:val="FollowedHyperlink"/>
    <w:basedOn w:val="DefaultParagraphFont"/>
    <w:semiHidden/>
    <w:unhideWhenUsed/>
    <w:rsid w:val="009B7AF6"/>
    <w:rPr>
      <w:color w:val="800080" w:themeColor="followedHyperlink"/>
      <w:u w:val="single"/>
    </w:rPr>
  </w:style>
  <w:style w:type="character" w:styleId="UnresolvedMention">
    <w:name w:val="Unresolved Mention"/>
    <w:basedOn w:val="DefaultParagraphFont"/>
    <w:rsid w:val="001A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hc.org/research-insight/research-report/behind-the-facade-the-feasibility-of-converting-commercial-real-estate-to-multifami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avanan.click/v2/___https://www.weareapartments.org/pdf/NMHC-NAA-US-Apartment-Demand-through-2035.pdf___.YXAzOm5taGM6YTpvOjQzYmQyNGJiMGRlZmY2MGNmMGZlMmVkZmM5ODYzZmJhOjY6YzU2NTphNzgxZmRlMjg2ZTliOTkxYmFjMDdjYzFiNTIwNTZjOGQwYTY0MzQxYjcwNzVkNWQxMDk0NDA1Zjc1MmMwZDkxOnA6V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jchs.harvard.edu/sites/default/files/reports/files/Harvard_JCHS_Americas_Rental_Housing_2024.pdf" TargetMode="External"/><Relationship Id="rId13" Type="http://schemas.openxmlformats.org/officeDocument/2006/relationships/hyperlink" Target="https://www.nmhc.org/globalassets/research--insight/research-reports/conversion/behind-the-facade_conversion-report.pdf" TargetMode="External"/><Relationship Id="rId3" Type="http://schemas.openxmlformats.org/officeDocument/2006/relationships/hyperlink" Target="https://url.avanan.click/v2/___https://rentalhousingaction.org/wp-content/uploads/2023/11/ACTION-NATIONAL-NOV-2023.pdf___.YXAzOm5taGM6YTpvOjQzYmQyNGJiMGRlZmY2MGNmMGZlMmVkZmM5ODYzZmJhOjY6NDJjNTpmMDM1ZjQ4MmU4ODgzNTA5ZjZjZWI3MTJjYTFlZjA0Nzk1NmRiY2MyOTdmN2E2MjU1MzhmMjlkN2U4MDg4NWJmOnA6VA" TargetMode="External"/><Relationship Id="rId7" Type="http://schemas.openxmlformats.org/officeDocument/2006/relationships/hyperlink" Target="https://nam11.safelinks.protection.outlook.com/?url=https%3A%2F%2Fwww.census.gov%2Fdata%2Fdevelopers%2Fdata-sets%2Fsoma.html&amp;data=05%7C02%7Cmberger%40nmhc.org%7C61832308ba1c479b0e1c08dc78e5fac3%7C05cc7ce5f709445995445680e78a2e22%7C0%7C0%7C638518176368497314%7CUnknown%7CTWFpbGZsb3d8eyJWIjoiMC4wLjAwMDAiLCJQIjoiV2luMzIiLCJBTiI6Ik1haWwiLCJXVCI6Mn0%3D%7C0%7C%7C%7C&amp;sdata=ClSfW1lLfga%2B3r88LpvyCVPXGlFnp2Izj27Zm1fDXxk%3D&amp;reserved=0" TargetMode="External"/><Relationship Id="rId12" Type="http://schemas.openxmlformats.org/officeDocument/2006/relationships/hyperlink" Target="https://url.avanan.click/v2/___https://www.nyc.gov/site/officeconversions/index.page___.YXAzOm5taGM6YTpvOjVjMTdjOTZmZThlZmJkZTY0NTdiOThmZjI5OTVhMmQ4OjY6ZWRlMDo2ZGQ0OWMyYjE1NTkwYjhlOWRlZjYwZTRjMTZkNDNiYTg3ODYwOTgwMThlYWU0N2FhZTAwNWFmNjkyNTU1N2U5OnA6VA" TargetMode="External"/><Relationship Id="rId2" Type="http://schemas.openxmlformats.org/officeDocument/2006/relationships/hyperlink" Target="https://www.taxnotes.com/featured-analysis/whos-left-tax-grappling-dwindling-shareholder-tax-base/2024/03/29/7j9cr" TargetMode="External"/><Relationship Id="rId1" Type="http://schemas.openxmlformats.org/officeDocument/2006/relationships/hyperlink" Target="https://url.avanan.click/v2/___https://weareapartments.org/pdf/Economic_Impact.pdf___.YXAzOm5taGM6YTpvOjQzYmQyNGJiMGRlZmY2MGNmMGZlMmVkZmM5ODYzZmJhOjY6NzljMTo5OThmYWUzNjQ2NWUyODI5NWMzZjZmZDhmOTA2MDk2NzdhMGNjZjQ2YTZhZGQ5MjMxZWMzODM5YmEzOGM2NGQzOnA6VA" TargetMode="External"/><Relationship Id="rId6" Type="http://schemas.openxmlformats.org/officeDocument/2006/relationships/hyperlink" Target="https://url.avanan.click/v2/___https://www.novoco.com/periodicals/articles/surge-in-pab-financed-affordable-housing-signals-need-to-expand-its-use___.YXAzOm5taGM6YTpvOjVjMTdjOTZmZThlZmJkZTY0NTdiOThmZjI5OTVhMmQ4OjY6NGNmYzowMzQxYjg0ZjAzNGQ3NGY0NWU1NjNiNmMzZTIzOTJjYTUzNjE4YmI0MDRjZjNlZTAzNTJhNjI4Mjk0MGQzZWJhOnA6VA" TargetMode="External"/><Relationship Id="rId11" Type="http://schemas.openxmlformats.org/officeDocument/2006/relationships/hyperlink" Target="https://dcregs.dc.gov/Common/NoticeDetail.aspx?NoticeId=N135303" TargetMode="External"/><Relationship Id="rId5" Type="http://schemas.openxmlformats.org/officeDocument/2006/relationships/hyperlink" Target="https://url.avanan.click/v2/___https://www.novoco.com/periodicals/news/low-income-housing-tax-credits-news-briefs-march-2024___.YXAzOm5taGM6YTpvOjVjMTdjOTZmZThlZmJkZTY0NTdiOThmZjI5OTVhMmQ4OjY6Nzk5Zjo0YWQyMjE1NDQ1NDFkZjMyZjIwNWU2ZDY1MTliODlkZTczMTgwNzZiMjFiZDAxMGQ5Y2FkNTNmYmNjNWMwMGQ5OnA6VA" TargetMode="External"/><Relationship Id="rId10" Type="http://schemas.openxmlformats.org/officeDocument/2006/relationships/hyperlink" Target="https://www.nmhc.org/globalassets/research--insight/research-reports/conversion/behind-the-facade_conversion-report.pdf" TargetMode="External"/><Relationship Id="rId4" Type="http://schemas.openxmlformats.org/officeDocument/2006/relationships/hyperlink" Target="https://url.avanan.click/v2/___https://www.novoco.com/notes-from-novogradac/lihtc-pab-provisions-newly-reintroduced-ahcia-could-result-nearly-2-million-additional-affordable___.YXAzOm5taGM6YTpvOjQzYmQyNGJiMGRlZmY2MGNmMGZlMmVkZmM5ODYzZmJhOjY6ZGU4ZjowN2U0NzVjNzE4MjZmMTMwZGI5MjY0YjM2YjBlOTNkMmM2OTk0YTFkOTIyOWI4NDA2MDdkNWY0ZjUwODE0MjM2OnA6VA" TargetMode="External"/><Relationship Id="rId9" Type="http://schemas.openxmlformats.org/officeDocument/2006/relationships/hyperlink" Target="https://www.novoco.com/notes-from-novogradac/qof-investments-build-homes-across-hundreds-of-american-c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934f4c-70e4-4885-b29a-53106c8b2748">
      <Terms xmlns="http://schemas.microsoft.com/office/infopath/2007/PartnerControls"/>
    </lcf76f155ced4ddcb4097134ff3c332f>
    <TaxCatchAll xmlns="b320120b-6706-42c3-ba54-cc078a9beb55" xsi:nil="true"/>
    <SharedWithUsers xmlns="b320120b-6706-42c3-ba54-cc078a9beb55">
      <UserInfo>
        <DisplayName>Chris Bruen</DisplayName>
        <AccountId>62</AccountId>
        <AccountType/>
      </UserInfo>
      <UserInfo>
        <DisplayName>Alex Eveland</DisplayName>
        <AccountId>439</AccountId>
        <AccountType/>
      </UserInfo>
      <UserInfo>
        <DisplayName>Bernard Fulton</DisplayName>
        <AccountId>592</AccountId>
        <AccountType/>
      </UserInfo>
      <UserInfo>
        <DisplayName>Matthew M. Berger</DisplayName>
        <AccountId>25</AccountId>
        <AccountType/>
      </UserInfo>
      <UserInfo>
        <DisplayName>Lisa Blackwell</DisplayName>
        <AccountId>27</AccountId>
        <AccountType/>
      </UserInfo>
      <UserInfo>
        <DisplayName>Kevin Donnelly</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3C597AB693348B44178AE21A937BA" ma:contentTypeVersion="16" ma:contentTypeDescription="Create a new document." ma:contentTypeScope="" ma:versionID="2260da4f25cbb81f910672ebaca7c58e">
  <xsd:schema xmlns:xsd="http://www.w3.org/2001/XMLSchema" xmlns:xs="http://www.w3.org/2001/XMLSchema" xmlns:p="http://schemas.microsoft.com/office/2006/metadata/properties" xmlns:ns2="15934f4c-70e4-4885-b29a-53106c8b2748" xmlns:ns3="b320120b-6706-42c3-ba54-cc078a9beb55" targetNamespace="http://schemas.microsoft.com/office/2006/metadata/properties" ma:root="true" ma:fieldsID="8b7f91542df26c4c87b4cdbeb1c47cd4" ns2:_="" ns3:_="">
    <xsd:import namespace="15934f4c-70e4-4885-b29a-53106c8b2748"/>
    <xsd:import namespace="b320120b-6706-42c3-ba54-cc078a9be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34f4c-70e4-4885-b29a-53106c8b2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738c2f-34ed-41c6-8fdd-ccd3513d82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0120b-6706-42c3-ba54-cc078a9beb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55f2d55-ec76-4ed9-be03-476132eabe91}" ma:internalName="TaxCatchAll" ma:showField="CatchAllData" ma:web="b320120b-6706-42c3-ba54-cc078a9be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FD88B-E5CF-4466-8F14-81623C96AD70}">
  <ds:schemaRefs>
    <ds:schemaRef ds:uri="http://schemas.microsoft.com/sharepoint/v3/contenttype/forms"/>
  </ds:schemaRefs>
</ds:datastoreItem>
</file>

<file path=customXml/itemProps2.xml><?xml version="1.0" encoding="utf-8"?>
<ds:datastoreItem xmlns:ds="http://schemas.openxmlformats.org/officeDocument/2006/customXml" ds:itemID="{26072981-9714-4693-837B-F4405AE13FFC}">
  <ds:schemaRefs>
    <ds:schemaRef ds:uri="http://schemas.openxmlformats.org/officeDocument/2006/bibliography"/>
  </ds:schemaRefs>
</ds:datastoreItem>
</file>

<file path=customXml/itemProps3.xml><?xml version="1.0" encoding="utf-8"?>
<ds:datastoreItem xmlns:ds="http://schemas.openxmlformats.org/officeDocument/2006/customXml" ds:itemID="{EC2B5927-CEF6-40A9-9106-529BDA71C2D1}">
  <ds:schemaRefs>
    <ds:schemaRef ds:uri="http://schemas.microsoft.com/office/2006/metadata/properties"/>
    <ds:schemaRef ds:uri="http://schemas.microsoft.com/office/infopath/2007/PartnerControls"/>
    <ds:schemaRef ds:uri="15934f4c-70e4-4885-b29a-53106c8b2748"/>
    <ds:schemaRef ds:uri="b320120b-6706-42c3-ba54-cc078a9beb55"/>
  </ds:schemaRefs>
</ds:datastoreItem>
</file>

<file path=customXml/itemProps4.xml><?xml version="1.0" encoding="utf-8"?>
<ds:datastoreItem xmlns:ds="http://schemas.openxmlformats.org/officeDocument/2006/customXml" ds:itemID="{30E66DAD-7074-4D1C-91E1-F090B170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34f4c-70e4-4885-b29a-53106c8b2748"/>
    <ds:schemaRef ds:uri="b320120b-6706-42c3-ba54-cc078a9be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The National Multi Housing Council (NMHC) and National Apartment Association (NAA) applaud your leadership for holding a hearing on the Section 8 Voucher Program</vt:lpstr>
    </vt:vector>
  </TitlesOfParts>
  <Company>National Multi Housing Council</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Multi Housing Council (NMHC) and National Apartment Association (NAA) applaud your leadership for holding a hearing on the Section 8 Voucher Program</dc:title>
  <dc:creator>lblackwell</dc:creator>
  <cp:lastModifiedBy>Matthew M. Berger</cp:lastModifiedBy>
  <cp:revision>49</cp:revision>
  <cp:lastPrinted>2024-02-22T22:06:00Z</cp:lastPrinted>
  <dcterms:created xsi:type="dcterms:W3CDTF">2024-05-19T20:42:00Z</dcterms:created>
  <dcterms:modified xsi:type="dcterms:W3CDTF">2024-05-21T14:49:00Z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0x010100DD33C597AB693348B44178AE21A937BA</vt:lpwstr>
  </property>
  <property fmtid="{D5CDD505-2E9C-101B-9397-08002B2CF9AE}" pid="3" name="MediaServiceImageTags">
    <vt:lpwstr/>
  </property>
</Properties>
</file>